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val="0"/>
          <w:bCs/>
          <w:sz w:val="44"/>
          <w:szCs w:val="44"/>
          <w:shd w:val="clear" w:color="auto" w:fill="FFFFFF"/>
        </w:rPr>
      </w:pPr>
      <w:r>
        <w:rPr>
          <w:rFonts w:hint="eastAsia" w:ascii="黑体" w:hAnsi="黑体" w:eastAsia="黑体" w:cs="黑体"/>
          <w:b w:val="0"/>
          <w:bCs/>
          <w:sz w:val="44"/>
          <w:szCs w:val="44"/>
          <w:shd w:val="clear" w:color="auto" w:fill="FFFFFF"/>
        </w:rPr>
        <w:t>忻州市</w:t>
      </w:r>
      <w:r>
        <w:rPr>
          <w:rFonts w:hint="eastAsia" w:ascii="黑体" w:hAnsi="黑体" w:eastAsia="黑体" w:cs="黑体"/>
          <w:b w:val="0"/>
          <w:bCs/>
          <w:sz w:val="44"/>
          <w:szCs w:val="44"/>
          <w:shd w:val="clear" w:color="auto" w:fill="FFFFFF"/>
          <w:lang w:eastAsia="zh-CN"/>
        </w:rPr>
        <w:t>规划和自然</w:t>
      </w:r>
      <w:r>
        <w:rPr>
          <w:rFonts w:hint="eastAsia" w:ascii="黑体" w:hAnsi="黑体" w:eastAsia="黑体" w:cs="黑体"/>
          <w:b w:val="0"/>
          <w:bCs/>
          <w:sz w:val="44"/>
          <w:szCs w:val="44"/>
          <w:shd w:val="clear" w:color="auto" w:fill="FFFFFF"/>
        </w:rPr>
        <w:t>资源局</w:t>
      </w:r>
    </w:p>
    <w:p>
      <w:pPr>
        <w:jc w:val="center"/>
        <w:rPr>
          <w:rFonts w:ascii="黑体" w:hAnsi="黑体" w:eastAsia="黑体" w:cs="黑体"/>
          <w:b/>
          <w:sz w:val="44"/>
          <w:szCs w:val="44"/>
          <w:shd w:val="clear" w:color="auto" w:fill="FFFFFF"/>
        </w:rPr>
      </w:pPr>
      <w:r>
        <w:rPr>
          <w:rFonts w:hint="eastAsia" w:ascii="黑体" w:hAnsi="黑体" w:eastAsia="黑体" w:cs="黑体"/>
          <w:b w:val="0"/>
          <w:bCs/>
          <w:sz w:val="44"/>
          <w:szCs w:val="44"/>
          <w:shd w:val="clear" w:color="auto" w:fill="FFFFFF"/>
        </w:rPr>
        <w:t>国有建设用地使用权拍卖出让公告</w:t>
      </w:r>
    </w:p>
    <w:p>
      <w:pPr>
        <w:jc w:val="center"/>
        <w:rPr>
          <w:rFonts w:ascii="宋体"/>
          <w:b w:val="0"/>
          <w:bCs/>
          <w:sz w:val="32"/>
          <w:szCs w:val="32"/>
          <w:shd w:val="clear" w:color="auto" w:fill="FFFFFF"/>
        </w:rPr>
      </w:pPr>
      <w:r>
        <w:rPr>
          <w:rFonts w:ascii="宋体" w:hAnsi="宋体"/>
          <w:b w:val="0"/>
          <w:bCs/>
          <w:sz w:val="32"/>
          <w:szCs w:val="32"/>
          <w:shd w:val="clear" w:color="auto" w:fill="FFFFFF"/>
        </w:rPr>
        <w:t>(</w:t>
      </w:r>
      <w:r>
        <w:rPr>
          <w:rFonts w:hint="eastAsia" w:ascii="宋体" w:hAnsi="宋体"/>
          <w:b w:val="0"/>
          <w:bCs/>
          <w:sz w:val="32"/>
          <w:szCs w:val="32"/>
          <w:shd w:val="clear" w:color="auto" w:fill="FFFFFF"/>
        </w:rPr>
        <w:t>忻</w:t>
      </w:r>
      <w:r>
        <w:rPr>
          <w:rFonts w:hint="eastAsia" w:ascii="宋体" w:hAnsi="宋体"/>
          <w:b w:val="0"/>
          <w:bCs/>
          <w:sz w:val="32"/>
          <w:szCs w:val="32"/>
          <w:shd w:val="clear" w:color="auto" w:fill="FFFFFF"/>
          <w:lang w:eastAsia="zh-CN"/>
        </w:rPr>
        <w:t>自然</w:t>
      </w:r>
      <w:r>
        <w:rPr>
          <w:rFonts w:hint="eastAsia" w:ascii="宋体" w:hAnsi="宋体"/>
          <w:b w:val="0"/>
          <w:bCs/>
          <w:sz w:val="32"/>
          <w:szCs w:val="32"/>
          <w:shd w:val="clear" w:color="auto" w:fill="FFFFFF"/>
        </w:rPr>
        <w:t>告字〔</w:t>
      </w:r>
      <w:r>
        <w:rPr>
          <w:rFonts w:ascii="宋体" w:hAnsi="宋体"/>
          <w:b w:val="0"/>
          <w:bCs/>
          <w:sz w:val="32"/>
          <w:szCs w:val="32"/>
          <w:shd w:val="clear" w:color="auto" w:fill="FFFFFF"/>
        </w:rPr>
        <w:t>201</w:t>
      </w:r>
      <w:r>
        <w:rPr>
          <w:rFonts w:hint="eastAsia" w:ascii="宋体" w:hAnsi="宋体"/>
          <w:b w:val="0"/>
          <w:bCs/>
          <w:sz w:val="32"/>
          <w:szCs w:val="32"/>
          <w:shd w:val="clear" w:color="auto" w:fill="FFFFFF"/>
          <w:lang w:val="en-US" w:eastAsia="zh-CN"/>
        </w:rPr>
        <w:t>9</w:t>
      </w:r>
      <w:r>
        <w:rPr>
          <w:rFonts w:hint="eastAsia" w:ascii="宋体" w:hAnsi="宋体"/>
          <w:b w:val="0"/>
          <w:bCs/>
          <w:sz w:val="32"/>
          <w:szCs w:val="32"/>
          <w:shd w:val="clear" w:color="auto" w:fill="FFFFFF"/>
        </w:rPr>
        <w:t>〕</w:t>
      </w:r>
      <w:r>
        <w:rPr>
          <w:rFonts w:hint="eastAsia" w:ascii="宋体" w:hAnsi="宋体"/>
          <w:b w:val="0"/>
          <w:bCs/>
          <w:sz w:val="32"/>
          <w:szCs w:val="32"/>
          <w:shd w:val="clear" w:color="auto" w:fill="FFFFFF"/>
          <w:lang w:val="en-US" w:eastAsia="zh-CN"/>
        </w:rPr>
        <w:t>06</w:t>
      </w:r>
      <w:r>
        <w:rPr>
          <w:rFonts w:hint="eastAsia" w:ascii="宋体" w:hAnsi="宋体"/>
          <w:b w:val="0"/>
          <w:bCs/>
          <w:sz w:val="32"/>
          <w:szCs w:val="32"/>
          <w:shd w:val="clear" w:color="auto" w:fill="FFFFFF"/>
        </w:rPr>
        <w:t>号</w:t>
      </w:r>
      <w:r>
        <w:rPr>
          <w:rFonts w:ascii="宋体" w:hAnsi="宋体"/>
          <w:b w:val="0"/>
          <w:bCs/>
          <w:sz w:val="32"/>
          <w:szCs w:val="32"/>
          <w:shd w:val="clear" w:color="auto" w:fill="FFFFFF"/>
        </w:rPr>
        <w:t>)</w:t>
      </w:r>
    </w:p>
    <w:p>
      <w:pPr>
        <w:spacing w:line="400" w:lineRule="exact"/>
        <w:rPr>
          <w:rFonts w:ascii="宋体"/>
          <w:b/>
          <w:sz w:val="32"/>
          <w:szCs w:val="32"/>
          <w:shd w:val="clear" w:color="auto" w:fill="FFFFFF"/>
        </w:rPr>
      </w:pPr>
    </w:p>
    <w:p>
      <w:pPr>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经忻州市人民政府批准</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忻州市</w:t>
      </w:r>
      <w:r>
        <w:rPr>
          <w:rFonts w:hint="eastAsia" w:ascii="仿宋_GB2312" w:hAnsi="仿宋_GB2312" w:eastAsia="仿宋_GB2312" w:cs="仿宋_GB2312"/>
          <w:sz w:val="32"/>
          <w:szCs w:val="32"/>
          <w:shd w:val="clear" w:color="auto" w:fill="FFFFFF"/>
          <w:lang w:eastAsia="zh-CN"/>
        </w:rPr>
        <w:t>规划和自然</w:t>
      </w:r>
      <w:r>
        <w:rPr>
          <w:rFonts w:hint="eastAsia" w:ascii="仿宋_GB2312" w:hAnsi="仿宋_GB2312" w:eastAsia="仿宋_GB2312" w:cs="仿宋_GB2312"/>
          <w:sz w:val="32"/>
          <w:szCs w:val="32"/>
          <w:shd w:val="clear" w:color="auto" w:fill="FFFFFF"/>
        </w:rPr>
        <w:t>资源局决定以拍卖方式出让</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幅地块的国有建设用地使用权。现将有关事项公告如下：</w:t>
      </w:r>
    </w:p>
    <w:p>
      <w:pPr>
        <w:numPr>
          <w:ilvl w:val="0"/>
          <w:numId w:val="1"/>
        </w:numPr>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拍卖出让地块的基本情况和规划指标要求</w:t>
      </w:r>
      <w:r>
        <w:rPr>
          <w:rFonts w:ascii="仿宋_GB2312" w:hAnsi="仿宋_GB2312" w:eastAsia="仿宋_GB2312" w:cs="仿宋_GB2312"/>
          <w:sz w:val="32"/>
          <w:szCs w:val="32"/>
          <w:shd w:val="clear" w:color="auto" w:fill="FFFFFF"/>
        </w:rPr>
        <w:t xml:space="preserve"> :</w:t>
      </w:r>
    </w:p>
    <w:tbl>
      <w:tblPr>
        <w:tblStyle w:val="5"/>
        <w:tblW w:w="8413" w:type="dxa"/>
        <w:tblInd w:w="1"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
      <w:tblGrid>
        <w:gridCol w:w="1623"/>
        <w:gridCol w:w="1569"/>
        <w:gridCol w:w="1020"/>
        <w:gridCol w:w="1203"/>
        <w:gridCol w:w="1328"/>
        <w:gridCol w:w="1670"/>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宗地编号</w:t>
            </w:r>
          </w:p>
        </w:tc>
        <w:tc>
          <w:tcPr>
            <w:tcW w:w="1569"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hint="default" w:ascii="仿宋_GB2312" w:hAnsi="仿宋_GB2312" w:eastAsia="仿宋_GB2312" w:cs="仿宋_GB2312"/>
                <w:sz w:val="21"/>
                <w:szCs w:val="21"/>
                <w:shd w:val="clear" w:color="auto" w:fill="FFFFFF"/>
                <w:lang w:val="en-US" w:eastAsia="zh-CN"/>
              </w:rPr>
            </w:pPr>
            <w:r>
              <w:rPr>
                <w:rFonts w:ascii="仿宋_GB2312" w:eastAsia="仿宋_GB2312"/>
                <w:sz w:val="21"/>
                <w:szCs w:val="21"/>
              </w:rPr>
              <w:t>2018-0</w:t>
            </w:r>
            <w:r>
              <w:rPr>
                <w:rFonts w:hint="eastAsia" w:ascii="仿宋_GB2312" w:eastAsia="仿宋_GB2312"/>
                <w:sz w:val="21"/>
                <w:szCs w:val="21"/>
                <w:lang w:val="en-US" w:eastAsia="zh-CN"/>
              </w:rPr>
              <w:t>55</w:t>
            </w:r>
          </w:p>
        </w:tc>
        <w:tc>
          <w:tcPr>
            <w:tcW w:w="1020"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宗地面积</w:t>
            </w:r>
          </w:p>
        </w:tc>
        <w:tc>
          <w:tcPr>
            <w:tcW w:w="1203"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lang w:eastAsia="zh-CN"/>
              </w:rPr>
              <w:t>183</w:t>
            </w:r>
            <w:r>
              <w:rPr>
                <w:rFonts w:hint="eastAsia" w:ascii="仿宋_GB2312" w:hAnsi="仿宋_GB2312" w:eastAsia="仿宋_GB2312" w:cs="仿宋_GB2312"/>
                <w:sz w:val="21"/>
                <w:szCs w:val="21"/>
                <w:lang w:val="en-US" w:eastAsia="zh-CN"/>
              </w:rPr>
              <w:t>36.2</w:t>
            </w:r>
            <w:bookmarkStart w:id="0" w:name="_GoBack"/>
            <w:bookmarkEnd w:id="0"/>
            <w:r>
              <w:rPr>
                <w:rFonts w:hint="eastAsia" w:ascii="仿宋_GB2312" w:hAnsi="仿宋_GB2312" w:eastAsia="仿宋_GB2312" w:cs="仿宋_GB2312"/>
                <w:sz w:val="21"/>
                <w:szCs w:val="21"/>
                <w:lang w:val="en-US" w:eastAsia="zh-CN"/>
              </w:rPr>
              <w:t>4</w:t>
            </w:r>
            <w:r>
              <w:rPr>
                <w:rFonts w:hint="eastAsia" w:ascii="仿宋_GB2312" w:eastAsia="仿宋_GB2312"/>
                <w:sz w:val="21"/>
                <w:szCs w:val="21"/>
              </w:rPr>
              <w:t>平方米</w:t>
            </w:r>
          </w:p>
        </w:tc>
        <w:tc>
          <w:tcPr>
            <w:tcW w:w="1328"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宗地座落</w:t>
            </w:r>
          </w:p>
        </w:tc>
        <w:tc>
          <w:tcPr>
            <w:tcW w:w="1670" w:type="dxa"/>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ascii="仿宋_GB2312" w:hAnsi="仿宋_GB2312" w:eastAsia="仿宋_GB2312" w:cs="仿宋_GB2312"/>
                <w:sz w:val="21"/>
                <w:szCs w:val="21"/>
                <w:shd w:val="clear" w:color="auto" w:fill="FFFFFF"/>
              </w:rPr>
              <w:t> </w:t>
            </w:r>
            <w:r>
              <w:rPr>
                <w:rFonts w:hint="eastAsia" w:ascii="仿宋_GB2312" w:hAnsi="仿宋_GB2312" w:eastAsia="仿宋_GB2312" w:cs="仿宋_GB2312"/>
                <w:sz w:val="21"/>
                <w:szCs w:val="21"/>
              </w:rPr>
              <w:t>龙翔街与银山路交叉口</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土地用途</w:t>
            </w:r>
          </w:p>
        </w:tc>
        <w:tc>
          <w:tcPr>
            <w:tcW w:w="1569"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rPr>
              <w:t>商业</w:t>
            </w:r>
            <w:r>
              <w:rPr>
                <w:rFonts w:hint="eastAsia" w:ascii="仿宋_GB2312" w:hAnsi="仿宋_GB2312" w:eastAsia="仿宋_GB2312" w:cs="仿宋_GB2312"/>
                <w:sz w:val="21"/>
                <w:szCs w:val="21"/>
                <w:lang w:eastAsia="zh-CN"/>
              </w:rPr>
              <w:t>服务设施</w:t>
            </w:r>
            <w:r>
              <w:rPr>
                <w:rFonts w:hint="eastAsia" w:ascii="仿宋_GB2312" w:hAnsi="仿宋_GB2312" w:eastAsia="仿宋_GB2312" w:cs="仿宋_GB2312"/>
                <w:sz w:val="21"/>
                <w:szCs w:val="21"/>
              </w:rPr>
              <w:t>用地</w:t>
            </w:r>
          </w:p>
        </w:tc>
        <w:tc>
          <w:tcPr>
            <w:tcW w:w="1020"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出让年限</w:t>
            </w:r>
          </w:p>
        </w:tc>
        <w:tc>
          <w:tcPr>
            <w:tcW w:w="1203"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eastAsia="仿宋_GB2312"/>
                <w:sz w:val="21"/>
                <w:szCs w:val="21"/>
              </w:rPr>
              <w:t> </w:t>
            </w:r>
            <w:r>
              <w:rPr>
                <w:rFonts w:ascii="仿宋_GB2312" w:eastAsia="仿宋_GB2312"/>
                <w:sz w:val="21"/>
                <w:szCs w:val="21"/>
              </w:rPr>
              <w:t>40</w:t>
            </w:r>
            <w:r>
              <w:rPr>
                <w:rFonts w:hint="eastAsia" w:ascii="仿宋_GB2312" w:eastAsia="仿宋_GB2312"/>
                <w:sz w:val="21"/>
                <w:szCs w:val="21"/>
              </w:rPr>
              <w:t>年</w:t>
            </w:r>
          </w:p>
        </w:tc>
        <w:tc>
          <w:tcPr>
            <w:tcW w:w="1328"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容积率</w:t>
            </w:r>
          </w:p>
        </w:tc>
        <w:tc>
          <w:tcPr>
            <w:tcW w:w="1670" w:type="dxa"/>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eastAsia="仿宋_GB2312"/>
                <w:sz w:val="21"/>
                <w:szCs w:val="21"/>
              </w:rPr>
              <w:t>小于或等于</w:t>
            </w:r>
            <w:r>
              <w:rPr>
                <w:rFonts w:ascii="仿宋_GB2312" w:eastAsia="仿宋_GB2312"/>
                <w:sz w:val="21"/>
                <w:szCs w:val="21"/>
              </w:rPr>
              <w:t>1.5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建筑密度</w:t>
            </w:r>
            <w:r>
              <w:rPr>
                <w:rFonts w:ascii="仿宋_GB2312" w:hAnsi="仿宋_GB2312" w:eastAsia="仿宋_GB2312" w:cs="仿宋_GB2312"/>
                <w:szCs w:val="21"/>
                <w:shd w:val="clear" w:color="auto" w:fill="FFFFFF"/>
              </w:rPr>
              <w:t>(%)</w:t>
            </w:r>
          </w:p>
        </w:tc>
        <w:tc>
          <w:tcPr>
            <w:tcW w:w="1569"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eastAsia="仿宋_GB2312"/>
                <w:sz w:val="21"/>
                <w:szCs w:val="21"/>
              </w:rPr>
              <w:t>小于或等于</w:t>
            </w:r>
            <w:r>
              <w:rPr>
                <w:rFonts w:ascii="仿宋_GB2312" w:eastAsia="仿宋_GB2312"/>
                <w:sz w:val="21"/>
                <w:szCs w:val="21"/>
              </w:rPr>
              <w:t>30</w:t>
            </w:r>
          </w:p>
        </w:tc>
        <w:tc>
          <w:tcPr>
            <w:tcW w:w="1020"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绿化率</w:t>
            </w:r>
            <w:r>
              <w:rPr>
                <w:rFonts w:ascii="仿宋_GB2312" w:hAnsi="仿宋_GB2312" w:eastAsia="仿宋_GB2312" w:cs="仿宋_GB2312"/>
                <w:sz w:val="21"/>
                <w:szCs w:val="21"/>
                <w:shd w:val="clear" w:color="auto" w:fill="FFFFFF"/>
              </w:rPr>
              <w:t>(%)</w:t>
            </w:r>
          </w:p>
        </w:tc>
        <w:tc>
          <w:tcPr>
            <w:tcW w:w="1203"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hint="default" w:ascii="仿宋_GB2312" w:hAnsi="仿宋_GB2312" w:eastAsia="仿宋_GB2312" w:cs="仿宋_GB2312"/>
                <w:sz w:val="21"/>
                <w:szCs w:val="21"/>
                <w:shd w:val="clear" w:color="auto" w:fill="FFFFFF"/>
                <w:lang w:val="en-US" w:eastAsia="zh-CN"/>
              </w:rPr>
            </w:pPr>
            <w:r>
              <w:rPr>
                <w:rFonts w:ascii="仿宋_GB2312" w:hAnsi="仿宋_GB2312" w:eastAsia="仿宋_GB2312" w:cs="仿宋_GB2312"/>
                <w:sz w:val="21"/>
                <w:szCs w:val="21"/>
                <w:shd w:val="clear" w:color="auto" w:fill="FFFFFF"/>
              </w:rPr>
              <w:t> </w:t>
            </w:r>
            <w:r>
              <w:rPr>
                <w:rFonts w:hint="eastAsia" w:ascii="仿宋_GB2312" w:eastAsia="仿宋_GB2312"/>
                <w:sz w:val="21"/>
                <w:szCs w:val="21"/>
              </w:rPr>
              <w:t>大于或等于</w:t>
            </w:r>
            <w:r>
              <w:rPr>
                <w:rFonts w:hint="eastAsia" w:ascii="仿宋_GB2312" w:eastAsia="仿宋_GB2312"/>
                <w:sz w:val="21"/>
                <w:szCs w:val="21"/>
                <w:lang w:val="en-US" w:eastAsia="zh-CN"/>
              </w:rPr>
              <w:t>30</w:t>
            </w:r>
          </w:p>
        </w:tc>
        <w:tc>
          <w:tcPr>
            <w:tcW w:w="1328"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建筑限高</w:t>
            </w:r>
            <w:r>
              <w:rPr>
                <w:rFonts w:ascii="仿宋_GB2312" w:hAnsi="仿宋_GB2312" w:eastAsia="仿宋_GB2312" w:cs="仿宋_GB2312"/>
                <w:sz w:val="21"/>
                <w:szCs w:val="21"/>
                <w:shd w:val="clear" w:color="auto" w:fill="FFFFFF"/>
              </w:rPr>
              <w:t>(</w:t>
            </w:r>
            <w:r>
              <w:rPr>
                <w:rFonts w:hint="eastAsia" w:ascii="仿宋_GB2312" w:hAnsi="仿宋_GB2312" w:eastAsia="仿宋_GB2312" w:cs="仿宋_GB2312"/>
                <w:sz w:val="21"/>
                <w:szCs w:val="21"/>
                <w:shd w:val="clear" w:color="auto" w:fill="FFFFFF"/>
              </w:rPr>
              <w:t>米</w:t>
            </w:r>
            <w:r>
              <w:rPr>
                <w:rFonts w:ascii="仿宋_GB2312" w:hAnsi="仿宋_GB2312" w:eastAsia="仿宋_GB2312" w:cs="仿宋_GB2312"/>
                <w:sz w:val="21"/>
                <w:szCs w:val="21"/>
                <w:shd w:val="clear" w:color="auto" w:fill="FFFFFF"/>
              </w:rPr>
              <w:t>)</w:t>
            </w:r>
          </w:p>
        </w:tc>
        <w:tc>
          <w:tcPr>
            <w:tcW w:w="1670" w:type="dxa"/>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center"/>
              <w:rPr>
                <w:rFonts w:hint="default" w:ascii="仿宋_GB2312" w:hAnsi="仿宋_GB2312" w:eastAsia="仿宋_GB2312" w:cs="仿宋_GB2312"/>
                <w:sz w:val="21"/>
                <w:szCs w:val="21"/>
                <w:shd w:val="clear" w:color="auto" w:fill="FFFFFF"/>
                <w:lang w:val="en-US" w:eastAsia="zh-CN"/>
              </w:rPr>
            </w:pPr>
            <w:r>
              <w:rPr>
                <w:rFonts w:ascii="仿宋_GB2312" w:hAnsi="仿宋_GB2312" w:eastAsia="仿宋_GB2312" w:cs="仿宋_GB2312"/>
                <w:sz w:val="21"/>
                <w:szCs w:val="21"/>
                <w:shd w:val="clear" w:color="auto" w:fill="FFFFFF"/>
              </w:rPr>
              <w:t> </w:t>
            </w:r>
            <w:r>
              <w:rPr>
                <w:rFonts w:hint="eastAsia" w:ascii="仿宋_GB2312" w:eastAsia="仿宋_GB2312"/>
                <w:sz w:val="21"/>
                <w:szCs w:val="21"/>
              </w:rPr>
              <w:t>小于或等于</w:t>
            </w:r>
            <w:r>
              <w:rPr>
                <w:rFonts w:hint="eastAsia" w:ascii="仿宋_GB2312" w:eastAsia="仿宋_GB2312"/>
                <w:sz w:val="21"/>
                <w:szCs w:val="21"/>
                <w:lang w:val="en-US" w:eastAsia="zh-CN"/>
              </w:rPr>
              <w:t>60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保证金</w:t>
            </w:r>
          </w:p>
        </w:tc>
        <w:tc>
          <w:tcPr>
            <w:tcW w:w="1569"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lang w:val="en-US" w:eastAsia="zh-CN"/>
              </w:rPr>
              <w:t>2250</w:t>
            </w:r>
            <w:r>
              <w:rPr>
                <w:rFonts w:hint="eastAsia" w:ascii="仿宋_GB2312" w:eastAsia="仿宋_GB2312"/>
                <w:sz w:val="21"/>
                <w:szCs w:val="21"/>
              </w:rPr>
              <w:t>万元</w:t>
            </w:r>
          </w:p>
        </w:tc>
        <w:tc>
          <w:tcPr>
            <w:tcW w:w="1020"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起始价</w:t>
            </w:r>
          </w:p>
        </w:tc>
        <w:tc>
          <w:tcPr>
            <w:tcW w:w="1203"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lang w:val="en-US" w:eastAsia="zh-CN"/>
              </w:rPr>
              <w:t>2250</w:t>
            </w:r>
            <w:r>
              <w:rPr>
                <w:rFonts w:hint="eastAsia" w:ascii="仿宋_GB2312" w:eastAsia="仿宋_GB2312"/>
                <w:sz w:val="21"/>
                <w:szCs w:val="21"/>
              </w:rPr>
              <w:t>万元</w:t>
            </w:r>
          </w:p>
        </w:tc>
        <w:tc>
          <w:tcPr>
            <w:tcW w:w="1328" w:type="dxa"/>
            <w:tcBorders>
              <w:top w:val="outset" w:color="333333" w:sz="6" w:space="0"/>
              <w:left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加价幅度</w:t>
            </w:r>
          </w:p>
        </w:tc>
        <w:tc>
          <w:tcPr>
            <w:tcW w:w="1670" w:type="dxa"/>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 w:val="21"/>
                <w:szCs w:val="21"/>
                <w:shd w:val="clear" w:color="auto" w:fill="FFFFFF"/>
              </w:rPr>
            </w:pPr>
            <w:r>
              <w:rPr>
                <w:rFonts w:ascii="仿宋_GB2312" w:eastAsia="仿宋_GB2312"/>
                <w:sz w:val="21"/>
                <w:szCs w:val="21"/>
              </w:rPr>
              <w:t>100</w:t>
            </w:r>
            <w:r>
              <w:rPr>
                <w:rFonts w:hint="eastAsia" w:ascii="仿宋_GB2312" w:eastAsia="仿宋_GB2312"/>
                <w:sz w:val="21"/>
                <w:szCs w:val="21"/>
              </w:rPr>
              <w:t>万元</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估价报告备案号</w:t>
            </w:r>
          </w:p>
        </w:tc>
        <w:tc>
          <w:tcPr>
            <w:tcW w:w="6790" w:type="dxa"/>
            <w:gridSpan w:val="5"/>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1406719BA0044</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447" w:hRule="atLeast"/>
        </w:trPr>
        <w:tc>
          <w:tcPr>
            <w:tcW w:w="1623" w:type="dxa"/>
            <w:tcBorders>
              <w:top w:val="outset" w:color="333333" w:sz="6" w:space="0"/>
              <w:bottom w:val="outset" w:color="333333" w:sz="6" w:space="0"/>
              <w:right w:val="outset" w:color="333333" w:sz="6" w:space="0"/>
            </w:tcBorders>
            <w:shd w:val="solid" w:color="FFFFFF" w:fill="auto"/>
            <w:vAlign w:val="center"/>
          </w:tcPr>
          <w:p>
            <w:pPr>
              <w:shd w:val="solid" w:color="FFFFFF" w:fill="auto"/>
              <w:autoSpaceDN w:val="0"/>
              <w:spacing w:line="320" w:lineRule="exact"/>
              <w:jc w:val="center"/>
              <w:rPr>
                <w:rFonts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备注</w:t>
            </w:r>
          </w:p>
        </w:tc>
        <w:tc>
          <w:tcPr>
            <w:tcW w:w="6790" w:type="dxa"/>
            <w:gridSpan w:val="5"/>
            <w:tcBorders>
              <w:top w:val="outset" w:color="333333" w:sz="6" w:space="0"/>
              <w:left w:val="outset" w:color="333333" w:sz="6" w:space="0"/>
              <w:bottom w:val="outset" w:color="333333" w:sz="6" w:space="0"/>
            </w:tcBorders>
            <w:shd w:val="solid" w:color="FFFFFF" w:fill="auto"/>
            <w:vAlign w:val="center"/>
          </w:tcPr>
          <w:p>
            <w:pPr>
              <w:shd w:val="solid" w:color="FFFFFF" w:fill="auto"/>
              <w:autoSpaceDN w:val="0"/>
              <w:spacing w:line="320" w:lineRule="exact"/>
              <w:jc w:val="left"/>
              <w:rPr>
                <w:rFonts w:ascii="仿宋_GB2312" w:eastAsia="仿宋_GB2312"/>
                <w:szCs w:val="21"/>
              </w:rPr>
            </w:pPr>
            <w:r>
              <w:rPr>
                <w:rFonts w:hint="eastAsia" w:ascii="仿宋_GB2312" w:eastAsia="仿宋_GB2312"/>
                <w:szCs w:val="21"/>
              </w:rPr>
              <w:t>１、本次出让所涉及的契税、印花税、耕地开垦费不在土地出让金内，由受让人承担。２、本次出让成交后，受让人需在</w:t>
            </w:r>
            <w:r>
              <w:rPr>
                <w:rFonts w:ascii="仿宋_GB2312" w:eastAsia="仿宋_GB2312"/>
                <w:szCs w:val="21"/>
              </w:rPr>
              <w:t>10</w:t>
            </w:r>
            <w:r>
              <w:rPr>
                <w:rFonts w:hint="eastAsia" w:ascii="仿宋_GB2312" w:eastAsia="仿宋_GB2312"/>
                <w:szCs w:val="21"/>
              </w:rPr>
              <w:t>个工作日内签订出让合同，签订出让合同后</w:t>
            </w:r>
            <w:r>
              <w:rPr>
                <w:rFonts w:ascii="仿宋_GB2312" w:eastAsia="仿宋_GB2312"/>
                <w:szCs w:val="21"/>
              </w:rPr>
              <w:t>30</w:t>
            </w:r>
            <w:r>
              <w:rPr>
                <w:rFonts w:hint="eastAsia" w:ascii="仿宋_GB2312" w:eastAsia="仿宋_GB2312"/>
                <w:szCs w:val="21"/>
              </w:rPr>
              <w:t>日内一次性缴清全部土地出让价款。</w:t>
            </w:r>
            <w:r>
              <w:rPr>
                <w:rFonts w:ascii="仿宋_GB2312" w:eastAsia="仿宋_GB2312"/>
                <w:szCs w:val="21"/>
              </w:rPr>
              <w:t xml:space="preserve"> 3</w:t>
            </w:r>
            <w:r>
              <w:rPr>
                <w:rFonts w:hint="eastAsia" w:ascii="仿宋_GB2312" w:eastAsia="仿宋_GB2312"/>
                <w:szCs w:val="21"/>
              </w:rPr>
              <w:t>、其他未尽事宜按国家有关政策规定执行。</w:t>
            </w:r>
          </w:p>
        </w:tc>
      </w:tr>
    </w:tbl>
    <w:p>
      <w:pPr>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 w:eastAsia="仿宋_GB2312" w:cs="仿宋"/>
          <w:sz w:val="32"/>
          <w:szCs w:val="32"/>
        </w:rPr>
        <w:t>二、</w:t>
      </w:r>
      <w:r>
        <w:rPr>
          <w:rFonts w:hint="eastAsia" w:ascii="仿宋_GB2312" w:hAnsi="仿宋_GB2312" w:eastAsia="仿宋_GB2312" w:cs="仿宋_GB2312"/>
          <w:sz w:val="32"/>
          <w:szCs w:val="32"/>
          <w:shd w:val="clear" w:color="auto" w:fill="FFFFFF"/>
        </w:rPr>
        <w:t>中华人民共和国境内外的法人、自然人和其他组织均可申请参加，申请人应当单独申请。</w:t>
      </w:r>
    </w:p>
    <w:p>
      <w:pPr>
        <w:spacing w:line="4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三、本次国有建设用地使用权拍卖出让按照价高者得原则确定竞得人。</w:t>
      </w:r>
    </w:p>
    <w:p>
      <w:pPr>
        <w:spacing w:line="400" w:lineRule="exact"/>
        <w:ind w:firstLine="640" w:firstLineChars="200"/>
        <w:jc w:val="left"/>
        <w:rPr>
          <w:rFonts w:hint="eastAsia" w:ascii="仿宋_GB2312" w:hAnsi="仿宋_GB2312" w:eastAsia="仿宋_GB2312" w:cs="仿宋_GB2312"/>
          <w:b w:val="0"/>
          <w:bCs w:val="0"/>
          <w:sz w:val="32"/>
          <w:szCs w:val="32"/>
          <w:u w:val="none"/>
          <w:shd w:val="clear" w:color="auto" w:fill="FFFFFF"/>
        </w:rPr>
      </w:pPr>
      <w:r>
        <w:rPr>
          <w:rFonts w:hint="eastAsia" w:ascii="仿宋_GB2312" w:hAnsi="仿宋_GB2312" w:eastAsia="仿宋_GB2312" w:cs="仿宋_GB2312"/>
          <w:sz w:val="32"/>
          <w:szCs w:val="32"/>
          <w:shd w:val="clear" w:color="auto" w:fill="FFFFFF"/>
        </w:rPr>
        <w:t>四、本</w:t>
      </w:r>
      <w:r>
        <w:rPr>
          <w:rFonts w:hint="eastAsia" w:ascii="仿宋_GB2312" w:hAnsi="仿宋_GB2312" w:eastAsia="仿宋_GB2312" w:cs="仿宋_GB2312"/>
          <w:b w:val="0"/>
          <w:bCs w:val="0"/>
          <w:sz w:val="32"/>
          <w:szCs w:val="32"/>
          <w:shd w:val="clear" w:color="auto" w:fill="FFFFFF"/>
        </w:rPr>
        <w:t>次拍卖出让的详细资料和具体要求见拍卖出让文件。申请人可于</w:t>
      </w:r>
      <w:r>
        <w:rPr>
          <w:rFonts w:hint="eastAsia" w:ascii="仿宋_GB2312" w:hAnsi="仿宋_GB2312" w:eastAsia="仿宋_GB2312" w:cs="仿宋_GB2312"/>
          <w:b w:val="0"/>
          <w:bCs w:val="0"/>
          <w:sz w:val="32"/>
          <w:szCs w:val="32"/>
          <w:u w:val="none"/>
        </w:rPr>
        <w:t>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12</w:t>
      </w:r>
      <w:r>
        <w:rPr>
          <w:rFonts w:hint="eastAsia" w:ascii="仿宋_GB2312" w:hAnsi="仿宋_GB2312" w:eastAsia="仿宋_GB2312" w:cs="仿宋_GB2312"/>
          <w:b w:val="0"/>
          <w:bCs w:val="0"/>
          <w:sz w:val="32"/>
          <w:szCs w:val="32"/>
          <w:u w:val="none"/>
        </w:rPr>
        <w:t>日至201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21</w:t>
      </w:r>
      <w:r>
        <w:rPr>
          <w:rFonts w:hint="eastAsia" w:ascii="仿宋_GB2312" w:hAnsi="仿宋_GB2312" w:eastAsia="仿宋_GB2312" w:cs="仿宋_GB2312"/>
          <w:b w:val="0"/>
          <w:bCs w:val="0"/>
          <w:sz w:val="32"/>
          <w:szCs w:val="32"/>
          <w:u w:val="none"/>
        </w:rPr>
        <w:t>日</w:t>
      </w:r>
      <w:r>
        <w:rPr>
          <w:rFonts w:hint="eastAsia" w:ascii="仿宋_GB2312" w:hAnsi="仿宋_GB2312" w:eastAsia="仿宋_GB2312" w:cs="仿宋_GB2312"/>
          <w:b w:val="0"/>
          <w:bCs w:val="0"/>
          <w:sz w:val="32"/>
          <w:szCs w:val="32"/>
          <w:u w:val="none"/>
          <w:shd w:val="clear" w:color="auto" w:fill="FFFFFF"/>
        </w:rPr>
        <w:t>到忻州市国土资源交易事务中心或忻州市公共资源交易中心 获取拍卖出让文件。</w:t>
      </w:r>
    </w:p>
    <w:p>
      <w:pPr>
        <w:spacing w:line="400" w:lineRule="exact"/>
        <w:ind w:firstLine="640" w:firstLineChars="200"/>
        <w:jc w:val="left"/>
        <w:rPr>
          <w:rFonts w:hint="eastAsia" w:ascii="仿宋_GB2312" w:hAnsi="仿宋_GB2312" w:eastAsia="仿宋_GB2312" w:cs="仿宋_GB2312"/>
          <w:b w:val="0"/>
          <w:bCs w:val="0"/>
          <w:sz w:val="32"/>
          <w:szCs w:val="32"/>
          <w:u w:val="none"/>
          <w:shd w:val="clear" w:color="auto" w:fill="FFFFFF"/>
        </w:rPr>
      </w:pPr>
      <w:r>
        <w:rPr>
          <w:rFonts w:hint="eastAsia" w:ascii="仿宋_GB2312" w:hAnsi="仿宋_GB2312" w:eastAsia="仿宋_GB2312" w:cs="仿宋_GB2312"/>
          <w:b w:val="0"/>
          <w:bCs w:val="0"/>
          <w:sz w:val="32"/>
          <w:szCs w:val="32"/>
          <w:u w:val="none"/>
          <w:shd w:val="clear" w:color="auto" w:fill="FFFFFF"/>
        </w:rPr>
        <w:t>五、申请人可于</w:t>
      </w:r>
      <w:r>
        <w:rPr>
          <w:rFonts w:hint="eastAsia" w:ascii="仿宋_GB2312" w:hAnsi="仿宋_GB2312" w:eastAsia="仿宋_GB2312" w:cs="仿宋_GB2312"/>
          <w:b w:val="0"/>
          <w:bCs w:val="0"/>
          <w:sz w:val="32"/>
          <w:szCs w:val="32"/>
          <w:u w:val="none"/>
        </w:rPr>
        <w:t>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12</w:t>
      </w:r>
      <w:r>
        <w:rPr>
          <w:rFonts w:hint="eastAsia" w:ascii="仿宋_GB2312" w:hAnsi="仿宋_GB2312" w:eastAsia="仿宋_GB2312" w:cs="仿宋_GB2312"/>
          <w:b w:val="0"/>
          <w:bCs w:val="0"/>
          <w:sz w:val="32"/>
          <w:szCs w:val="32"/>
          <w:u w:val="none"/>
        </w:rPr>
        <w:t>日至201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21</w:t>
      </w:r>
      <w:r>
        <w:rPr>
          <w:rFonts w:hint="eastAsia" w:ascii="仿宋_GB2312" w:hAnsi="仿宋_GB2312" w:eastAsia="仿宋_GB2312" w:cs="仿宋_GB2312"/>
          <w:b w:val="0"/>
          <w:bCs w:val="0"/>
          <w:sz w:val="32"/>
          <w:szCs w:val="32"/>
          <w:u w:val="none"/>
        </w:rPr>
        <w:t>日</w:t>
      </w:r>
      <w:r>
        <w:rPr>
          <w:rFonts w:hint="eastAsia" w:ascii="仿宋_GB2312" w:hAnsi="仿宋_GB2312" w:eastAsia="仿宋_GB2312" w:cs="仿宋_GB2312"/>
          <w:b w:val="0"/>
          <w:bCs w:val="0"/>
          <w:sz w:val="32"/>
          <w:szCs w:val="32"/>
          <w:u w:val="none"/>
          <w:shd w:val="clear" w:color="auto" w:fill="FFFFFF"/>
        </w:rPr>
        <w:t>到忻州市国土资源交易事务中心或忻州市公共资源交易中心向我局提交书面申请。交纳竞买保证金的截止时间为</w:t>
      </w:r>
      <w:r>
        <w:rPr>
          <w:rFonts w:hint="eastAsia" w:ascii="仿宋_GB2312" w:hAnsi="仿宋_GB2312" w:eastAsia="仿宋_GB2312" w:cs="仿宋_GB2312"/>
          <w:b w:val="0"/>
          <w:bCs w:val="0"/>
          <w:sz w:val="32"/>
          <w:szCs w:val="32"/>
          <w:u w:val="none"/>
        </w:rPr>
        <w:t>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21</w:t>
      </w:r>
      <w:r>
        <w:rPr>
          <w:rFonts w:hint="eastAsia" w:ascii="仿宋_GB2312" w:hAnsi="仿宋_GB2312" w:eastAsia="仿宋_GB2312" w:cs="仿宋_GB2312"/>
          <w:b w:val="0"/>
          <w:bCs w:val="0"/>
          <w:sz w:val="32"/>
          <w:szCs w:val="32"/>
          <w:u w:val="none"/>
        </w:rPr>
        <w:t>日17时00分</w:t>
      </w:r>
      <w:r>
        <w:rPr>
          <w:rFonts w:hint="eastAsia" w:ascii="仿宋_GB2312" w:hAnsi="仿宋_GB2312" w:eastAsia="仿宋_GB2312" w:cs="仿宋_GB2312"/>
          <w:b w:val="0"/>
          <w:bCs w:val="0"/>
          <w:sz w:val="32"/>
          <w:szCs w:val="32"/>
          <w:u w:val="none"/>
          <w:shd w:val="clear" w:color="auto" w:fill="FFFFFF"/>
        </w:rPr>
        <w:t>。经审核，申请人按规定交纳竞买保证金，具备申请条件的，我局将在</w:t>
      </w:r>
      <w:r>
        <w:rPr>
          <w:rFonts w:hint="eastAsia" w:ascii="仿宋_GB2312" w:hAnsi="仿宋_GB2312" w:eastAsia="仿宋_GB2312" w:cs="仿宋_GB2312"/>
          <w:b w:val="0"/>
          <w:bCs w:val="0"/>
          <w:sz w:val="32"/>
          <w:szCs w:val="32"/>
          <w:u w:val="none"/>
        </w:rPr>
        <w:t>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22</w:t>
      </w:r>
      <w:r>
        <w:rPr>
          <w:rFonts w:hint="eastAsia" w:ascii="仿宋_GB2312" w:hAnsi="仿宋_GB2312" w:eastAsia="仿宋_GB2312" w:cs="仿宋_GB2312"/>
          <w:b w:val="0"/>
          <w:bCs w:val="0"/>
          <w:sz w:val="32"/>
          <w:szCs w:val="32"/>
          <w:u w:val="none"/>
        </w:rPr>
        <w:t>日12时</w:t>
      </w:r>
      <w:r>
        <w:rPr>
          <w:rFonts w:hint="eastAsia" w:ascii="仿宋_GB2312" w:hAnsi="仿宋_GB2312" w:eastAsia="仿宋_GB2312" w:cs="仿宋_GB2312"/>
          <w:b w:val="0"/>
          <w:bCs w:val="0"/>
          <w:sz w:val="32"/>
          <w:szCs w:val="32"/>
          <w:u w:val="none"/>
          <w:shd w:val="clear" w:color="auto" w:fill="FFFFFF"/>
        </w:rPr>
        <w:t>前确认其竞买资格。</w:t>
      </w:r>
    </w:p>
    <w:p>
      <w:pPr>
        <w:spacing w:line="40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val="0"/>
          <w:bCs w:val="0"/>
          <w:sz w:val="32"/>
          <w:szCs w:val="32"/>
          <w:u w:val="none"/>
          <w:shd w:val="clear" w:color="auto" w:fill="FFFFFF"/>
        </w:rPr>
        <w:t>六、本次国有建设用地使用权拍卖活动定于</w:t>
      </w:r>
      <w:r>
        <w:rPr>
          <w:rFonts w:hint="eastAsia" w:ascii="仿宋_GB2312" w:hAnsi="仿宋_GB2312" w:eastAsia="仿宋_GB2312" w:cs="仿宋_GB2312"/>
          <w:b w:val="0"/>
          <w:bCs w:val="0"/>
          <w:sz w:val="32"/>
          <w:szCs w:val="32"/>
          <w:u w:val="none"/>
        </w:rPr>
        <w:t>201</w:t>
      </w:r>
      <w:r>
        <w:rPr>
          <w:rFonts w:hint="eastAsia" w:ascii="仿宋_GB2312" w:hAnsi="仿宋_GB2312" w:eastAsia="仿宋_GB2312" w:cs="仿宋_GB2312"/>
          <w:b w:val="0"/>
          <w:bCs w:val="0"/>
          <w:sz w:val="32"/>
          <w:szCs w:val="32"/>
          <w:u w:val="none"/>
          <w:lang w:val="en-US" w:eastAsia="zh-CN"/>
        </w:rPr>
        <w:t>9</w:t>
      </w:r>
      <w:r>
        <w:rPr>
          <w:rFonts w:hint="eastAsia" w:ascii="仿宋_GB2312" w:hAnsi="仿宋_GB2312" w:eastAsia="仿宋_GB2312" w:cs="仿宋_GB2312"/>
          <w:b w:val="0"/>
          <w:bCs w:val="0"/>
          <w:sz w:val="32"/>
          <w:szCs w:val="32"/>
          <w:u w:val="none"/>
        </w:rPr>
        <w:t>年</w:t>
      </w:r>
      <w:r>
        <w:rPr>
          <w:rFonts w:hint="eastAsia" w:ascii="仿宋_GB2312" w:hAnsi="仿宋_GB2312" w:eastAsia="仿宋_GB2312" w:cs="仿宋_GB2312"/>
          <w:b w:val="0"/>
          <w:bCs w:val="0"/>
          <w:sz w:val="32"/>
          <w:szCs w:val="32"/>
          <w:u w:val="none"/>
          <w:lang w:val="en-US" w:eastAsia="zh-CN"/>
        </w:rPr>
        <w:t>8</w:t>
      </w:r>
      <w:r>
        <w:rPr>
          <w:rFonts w:hint="eastAsia" w:ascii="仿宋_GB2312" w:hAnsi="仿宋_GB2312" w:eastAsia="仿宋_GB2312" w:cs="仿宋_GB2312"/>
          <w:b w:val="0"/>
          <w:bCs w:val="0"/>
          <w:sz w:val="32"/>
          <w:szCs w:val="32"/>
          <w:u w:val="none"/>
        </w:rPr>
        <w:t>月</w:t>
      </w:r>
      <w:r>
        <w:rPr>
          <w:rFonts w:hint="eastAsia" w:ascii="仿宋_GB2312" w:hAnsi="仿宋_GB2312" w:eastAsia="仿宋_GB2312" w:cs="仿宋_GB2312"/>
          <w:b w:val="0"/>
          <w:bCs w:val="0"/>
          <w:sz w:val="32"/>
          <w:szCs w:val="32"/>
          <w:u w:val="none"/>
          <w:lang w:val="en-US" w:eastAsia="zh-CN"/>
        </w:rPr>
        <w:t>23</w:t>
      </w:r>
      <w:r>
        <w:rPr>
          <w:rFonts w:hint="eastAsia" w:ascii="仿宋_GB2312" w:hAnsi="仿宋_GB2312" w:eastAsia="仿宋_GB2312" w:cs="仿宋_GB2312"/>
          <w:b w:val="0"/>
          <w:bCs w:val="0"/>
          <w:sz w:val="32"/>
          <w:szCs w:val="32"/>
          <w:u w:val="none"/>
        </w:rPr>
        <w:t>日10时</w:t>
      </w:r>
      <w:r>
        <w:rPr>
          <w:rFonts w:hint="eastAsia" w:ascii="仿宋_GB2312" w:hAnsi="仿宋_GB2312" w:eastAsia="仿宋_GB2312" w:cs="仿宋_GB2312"/>
          <w:b w:val="0"/>
          <w:bCs w:val="0"/>
          <w:sz w:val="32"/>
          <w:szCs w:val="32"/>
          <w:u w:val="none"/>
          <w:shd w:val="clear" w:color="auto" w:fill="FFFFFF"/>
        </w:rPr>
        <w:t>在忻州市公共资源交易中心</w:t>
      </w:r>
      <w:r>
        <w:rPr>
          <w:rFonts w:hint="eastAsia" w:ascii="仿宋_GB2312" w:hAnsi="仿宋_GB2312" w:eastAsia="仿宋_GB2312" w:cs="仿宋_GB2312"/>
          <w:b w:val="0"/>
          <w:bCs w:val="0"/>
          <w:sz w:val="32"/>
          <w:szCs w:val="32"/>
          <w:shd w:val="clear" w:color="auto" w:fill="FFFFFF"/>
        </w:rPr>
        <w:t>开标</w:t>
      </w:r>
      <w:r>
        <w:rPr>
          <w:rFonts w:hint="eastAsia" w:ascii="仿宋_GB2312" w:hAnsi="仿宋_GB2312" w:eastAsia="仿宋_GB2312" w:cs="仿宋_GB2312"/>
          <w:sz w:val="32"/>
          <w:szCs w:val="32"/>
          <w:shd w:val="clear" w:color="auto" w:fill="FFFFFF"/>
        </w:rPr>
        <w:t>三厅进行。</w:t>
      </w:r>
    </w:p>
    <w:p>
      <w:pPr>
        <w:spacing w:line="400" w:lineRule="exact"/>
        <w:ind w:firstLine="640" w:firstLineChars="200"/>
        <w:jc w:val="left"/>
        <w:rPr>
          <w:rFonts w:ascii="仿宋_GB2312" w:hAnsi="宋体" w:eastAsia="仿宋_GB2312" w:cs="宋体"/>
          <w:kern w:val="0"/>
          <w:sz w:val="32"/>
          <w:szCs w:val="21"/>
        </w:rPr>
      </w:pPr>
      <w:r>
        <w:rPr>
          <w:rFonts w:hint="eastAsia" w:ascii="仿宋_GB2312" w:hAnsi="宋体" w:eastAsia="仿宋_GB2312" w:cs="宋体"/>
          <w:kern w:val="0"/>
          <w:sz w:val="32"/>
          <w:szCs w:val="21"/>
        </w:rPr>
        <w:t>七、联系方式</w:t>
      </w:r>
      <w:r>
        <w:rPr>
          <w:rFonts w:ascii="仿宋_GB2312" w:hAnsi="宋体" w:eastAsia="仿宋_GB2312" w:cs="宋体"/>
          <w:kern w:val="0"/>
          <w:sz w:val="32"/>
          <w:szCs w:val="21"/>
        </w:rPr>
        <w:br w:type="textWrapping"/>
      </w:r>
      <w:r>
        <w:rPr>
          <w:rFonts w:ascii="仿宋_GB2312" w:hAnsi="宋体" w:eastAsia="仿宋_GB2312" w:cs="宋体"/>
          <w:kern w:val="0"/>
          <w:sz w:val="32"/>
          <w:szCs w:val="21"/>
        </w:rPr>
        <w:t xml:space="preserve">    </w:t>
      </w:r>
      <w:r>
        <w:rPr>
          <w:rFonts w:hint="eastAsia" w:ascii="仿宋_GB2312" w:hAnsi="宋体" w:eastAsia="仿宋_GB2312" w:cs="宋体"/>
          <w:kern w:val="0"/>
          <w:sz w:val="32"/>
          <w:szCs w:val="21"/>
        </w:rPr>
        <w:t>联系地址：忻州市</w:t>
      </w:r>
      <w:r>
        <w:rPr>
          <w:rFonts w:hint="eastAsia" w:ascii="仿宋_GB2312" w:hAnsi="宋体" w:eastAsia="仿宋_GB2312" w:cs="宋体"/>
          <w:kern w:val="0"/>
          <w:sz w:val="32"/>
          <w:szCs w:val="21"/>
          <w:lang w:eastAsia="zh-CN"/>
        </w:rPr>
        <w:t>规划和自然</w:t>
      </w:r>
      <w:r>
        <w:rPr>
          <w:rFonts w:hint="eastAsia" w:ascii="仿宋_GB2312" w:hAnsi="宋体" w:eastAsia="仿宋_GB2312" w:cs="宋体"/>
          <w:kern w:val="0"/>
          <w:sz w:val="32"/>
          <w:szCs w:val="21"/>
        </w:rPr>
        <w:t>资源局（和平西街与慕山路交叉路口西南角）</w:t>
      </w:r>
      <w:r>
        <w:rPr>
          <w:rFonts w:ascii="仿宋_GB2312" w:hAnsi="宋体" w:eastAsia="仿宋_GB2312" w:cs="宋体"/>
          <w:kern w:val="0"/>
          <w:sz w:val="32"/>
          <w:szCs w:val="21"/>
        </w:rPr>
        <w:br w:type="textWrapping"/>
      </w:r>
      <w:r>
        <w:rPr>
          <w:rFonts w:ascii="仿宋_GB2312" w:hAnsi="宋体" w:eastAsia="仿宋_GB2312" w:cs="宋体"/>
          <w:kern w:val="0"/>
          <w:sz w:val="32"/>
          <w:szCs w:val="21"/>
        </w:rPr>
        <w:t xml:space="preserve">    </w:t>
      </w:r>
      <w:r>
        <w:rPr>
          <w:rFonts w:hint="eastAsia" w:ascii="仿宋_GB2312" w:hAnsi="宋体" w:eastAsia="仿宋_GB2312" w:cs="宋体"/>
          <w:kern w:val="0"/>
          <w:sz w:val="32"/>
          <w:szCs w:val="21"/>
        </w:rPr>
        <w:t>联</w:t>
      </w:r>
      <w:r>
        <w:rPr>
          <w:rFonts w:ascii="仿宋_GB2312" w:hAnsi="宋体" w:eastAsia="仿宋_GB2312" w:cs="宋体"/>
          <w:kern w:val="0"/>
          <w:sz w:val="32"/>
          <w:szCs w:val="21"/>
        </w:rPr>
        <w:t xml:space="preserve"> </w:t>
      </w:r>
      <w:r>
        <w:rPr>
          <w:rFonts w:hint="eastAsia" w:ascii="仿宋_GB2312" w:hAnsi="宋体" w:eastAsia="仿宋_GB2312" w:cs="宋体"/>
          <w:kern w:val="0"/>
          <w:sz w:val="32"/>
          <w:szCs w:val="21"/>
        </w:rPr>
        <w:t>系</w:t>
      </w:r>
      <w:r>
        <w:rPr>
          <w:rFonts w:ascii="仿宋_GB2312" w:hAnsi="宋体" w:eastAsia="仿宋_GB2312" w:cs="宋体"/>
          <w:kern w:val="0"/>
          <w:sz w:val="32"/>
          <w:szCs w:val="21"/>
        </w:rPr>
        <w:t xml:space="preserve"> </w:t>
      </w:r>
      <w:r>
        <w:rPr>
          <w:rFonts w:hint="eastAsia" w:ascii="仿宋_GB2312" w:hAnsi="宋体" w:eastAsia="仿宋_GB2312" w:cs="宋体"/>
          <w:kern w:val="0"/>
          <w:sz w:val="32"/>
          <w:szCs w:val="21"/>
        </w:rPr>
        <w:t>人：张女士</w:t>
      </w:r>
      <w:r>
        <w:rPr>
          <w:rFonts w:ascii="仿宋_GB2312" w:hAnsi="宋体" w:eastAsia="仿宋_GB2312" w:cs="宋体"/>
          <w:kern w:val="0"/>
          <w:sz w:val="32"/>
          <w:szCs w:val="21"/>
        </w:rPr>
        <w:t xml:space="preserve">  </w:t>
      </w:r>
      <w:r>
        <w:rPr>
          <w:rFonts w:hint="eastAsia" w:ascii="仿宋_GB2312" w:hAnsi="宋体" w:eastAsia="仿宋_GB2312" w:cs="宋体"/>
          <w:kern w:val="0"/>
          <w:sz w:val="32"/>
          <w:szCs w:val="21"/>
        </w:rPr>
        <w:t>温先生</w:t>
      </w:r>
      <w:r>
        <w:rPr>
          <w:rFonts w:ascii="仿宋_GB2312" w:hAnsi="宋体" w:eastAsia="仿宋_GB2312" w:cs="宋体"/>
          <w:kern w:val="0"/>
          <w:sz w:val="32"/>
          <w:szCs w:val="21"/>
        </w:rPr>
        <w:t xml:space="preserve"> </w:t>
      </w:r>
    </w:p>
    <w:p>
      <w:pPr>
        <w:spacing w:line="400" w:lineRule="exact"/>
        <w:ind w:firstLine="640" w:firstLineChars="200"/>
        <w:jc w:val="left"/>
        <w:rPr>
          <w:rFonts w:ascii="仿宋_GB2312" w:hAnsi="宋体" w:eastAsia="仿宋_GB2312" w:cs="宋体"/>
          <w:kern w:val="0"/>
          <w:sz w:val="32"/>
          <w:szCs w:val="21"/>
        </w:rPr>
      </w:pPr>
      <w:r>
        <w:rPr>
          <w:rFonts w:hint="eastAsia" w:ascii="仿宋_GB2312" w:hAnsi="宋体" w:eastAsia="仿宋_GB2312" w:cs="宋体"/>
          <w:kern w:val="0"/>
          <w:sz w:val="32"/>
          <w:szCs w:val="21"/>
        </w:rPr>
        <w:t>联系电话：</w:t>
      </w:r>
      <w:r>
        <w:rPr>
          <w:rFonts w:ascii="仿宋_GB2312" w:hAnsi="宋体" w:eastAsia="仿宋_GB2312" w:cs="宋体"/>
          <w:kern w:val="0"/>
          <w:sz w:val="32"/>
          <w:szCs w:val="21"/>
        </w:rPr>
        <w:t>0350-8652588</w:t>
      </w:r>
      <w:r>
        <w:rPr>
          <w:rFonts w:ascii="仿宋_GB2312" w:hAnsi="宋体" w:eastAsia="仿宋_GB2312" w:cs="宋体"/>
          <w:kern w:val="0"/>
          <w:sz w:val="32"/>
          <w:szCs w:val="21"/>
        </w:rPr>
        <w:br w:type="textWrapping"/>
      </w:r>
      <w:r>
        <w:rPr>
          <w:rFonts w:ascii="仿宋_GB2312" w:hAnsi="宋体" w:eastAsia="仿宋_GB2312" w:cs="宋体"/>
          <w:kern w:val="0"/>
          <w:sz w:val="32"/>
          <w:szCs w:val="21"/>
        </w:rPr>
        <w:t xml:space="preserve">       </w:t>
      </w:r>
    </w:p>
    <w:p>
      <w:pPr>
        <w:spacing w:line="440" w:lineRule="exact"/>
        <w:ind w:right="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p>
    <w:p>
      <w:pPr>
        <w:spacing w:line="440" w:lineRule="exact"/>
        <w:ind w:right="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　　　　　　　　　　　　</w:t>
      </w:r>
      <w:r>
        <w:rPr>
          <w:rFonts w:hint="eastAsia" w:ascii="仿宋_GB2312" w:hAnsi="仿宋_GB2312" w:eastAsia="仿宋_GB2312" w:cs="仿宋_GB2312"/>
          <w:sz w:val="32"/>
          <w:szCs w:val="32"/>
          <w:shd w:val="clear" w:color="auto" w:fill="FFFFFF"/>
        </w:rPr>
        <w:t>忻州市</w:t>
      </w:r>
      <w:r>
        <w:rPr>
          <w:rFonts w:hint="eastAsia" w:ascii="仿宋_GB2312" w:hAnsi="仿宋_GB2312" w:eastAsia="仿宋_GB2312" w:cs="仿宋_GB2312"/>
          <w:sz w:val="32"/>
          <w:szCs w:val="32"/>
          <w:shd w:val="clear" w:color="auto" w:fill="FFFFFF"/>
          <w:lang w:eastAsia="zh-CN"/>
        </w:rPr>
        <w:t>规划和自然</w:t>
      </w:r>
      <w:r>
        <w:rPr>
          <w:rFonts w:hint="eastAsia" w:ascii="仿宋_GB2312" w:hAnsi="仿宋_GB2312" w:eastAsia="仿宋_GB2312" w:cs="仿宋_GB2312"/>
          <w:sz w:val="32"/>
          <w:szCs w:val="32"/>
          <w:shd w:val="clear" w:color="auto" w:fill="FFFFFF"/>
        </w:rPr>
        <w:t>资源局</w:t>
      </w:r>
    </w:p>
    <w:p>
      <w:pPr>
        <w:shd w:val="solid" w:color="FFFFFF" w:fill="auto"/>
        <w:autoSpaceDN w:val="0"/>
        <w:spacing w:line="44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eastAsia="zh-CN"/>
        </w:rPr>
        <w:t>　</w:t>
      </w:r>
      <w:r>
        <w:rPr>
          <w:rFonts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日</w:t>
      </w:r>
      <w:r>
        <w:rPr>
          <w:rFonts w:ascii="仿宋_GB2312" w:hAnsi="仿宋_GB2312" w:eastAsia="仿宋_GB2312" w:cs="仿宋_GB2312"/>
          <w:sz w:val="32"/>
          <w:szCs w:val="32"/>
          <w:shd w:val="clear" w:color="auto" w:fill="FFFFFF"/>
        </w:rPr>
        <w:t xml:space="preserve"> </w:t>
      </w:r>
    </w:p>
    <w:p>
      <w:pPr>
        <w:shd w:val="solid" w:color="FFFFFF" w:fill="auto"/>
        <w:autoSpaceDN w:val="0"/>
        <w:spacing w:line="440" w:lineRule="exact"/>
      </w:pPr>
      <w:r>
        <w:rPr>
          <w:rFonts w:ascii="仿宋_GB2312" w:hAnsi="仿宋_GB2312" w:eastAsia="仿宋_GB2312" w:cs="仿宋_GB2312"/>
          <w:sz w:val="32"/>
          <w:szCs w:val="32"/>
          <w:shd w:val="clear" w:color="auto" w:fill="FFFFFF"/>
        </w:rPr>
        <w:t xml:space="preserve"> </w:t>
      </w:r>
    </w:p>
    <w:sectPr>
      <w:pgSz w:w="11906" w:h="16838"/>
      <w:pgMar w:top="1213" w:right="1800" w:bottom="121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E28F"/>
    <w:multiLevelType w:val="singleLevel"/>
    <w:tmpl w:val="543CE28F"/>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2E7040C"/>
    <w:rsid w:val="0003773D"/>
    <w:rsid w:val="000A01EE"/>
    <w:rsid w:val="000D1871"/>
    <w:rsid w:val="00172720"/>
    <w:rsid w:val="001B0F35"/>
    <w:rsid w:val="001F4F18"/>
    <w:rsid w:val="00260B02"/>
    <w:rsid w:val="002819AB"/>
    <w:rsid w:val="002D0AAF"/>
    <w:rsid w:val="00400D7A"/>
    <w:rsid w:val="00427365"/>
    <w:rsid w:val="004276EA"/>
    <w:rsid w:val="004B34C6"/>
    <w:rsid w:val="004E547B"/>
    <w:rsid w:val="0052499B"/>
    <w:rsid w:val="005402F2"/>
    <w:rsid w:val="0056310E"/>
    <w:rsid w:val="00581E84"/>
    <w:rsid w:val="00585E44"/>
    <w:rsid w:val="005C2F24"/>
    <w:rsid w:val="00696404"/>
    <w:rsid w:val="006A3F68"/>
    <w:rsid w:val="006E1294"/>
    <w:rsid w:val="007136F4"/>
    <w:rsid w:val="00771EB2"/>
    <w:rsid w:val="007E15C6"/>
    <w:rsid w:val="00825B66"/>
    <w:rsid w:val="00840CD5"/>
    <w:rsid w:val="008413DB"/>
    <w:rsid w:val="0089571D"/>
    <w:rsid w:val="009015B2"/>
    <w:rsid w:val="00925E69"/>
    <w:rsid w:val="009B764E"/>
    <w:rsid w:val="009C64A6"/>
    <w:rsid w:val="009E703C"/>
    <w:rsid w:val="00A13473"/>
    <w:rsid w:val="00A33606"/>
    <w:rsid w:val="00A6586B"/>
    <w:rsid w:val="00A65AF9"/>
    <w:rsid w:val="00A7686F"/>
    <w:rsid w:val="00A867AA"/>
    <w:rsid w:val="00AB30C2"/>
    <w:rsid w:val="00AE12EB"/>
    <w:rsid w:val="00AE1C83"/>
    <w:rsid w:val="00B32691"/>
    <w:rsid w:val="00B60D25"/>
    <w:rsid w:val="00B74AD7"/>
    <w:rsid w:val="00C26406"/>
    <w:rsid w:val="00C5495D"/>
    <w:rsid w:val="00CA749E"/>
    <w:rsid w:val="00DF1C8B"/>
    <w:rsid w:val="00E5586C"/>
    <w:rsid w:val="00F2257B"/>
    <w:rsid w:val="00F87647"/>
    <w:rsid w:val="00F96016"/>
    <w:rsid w:val="0A534742"/>
    <w:rsid w:val="0C7369E6"/>
    <w:rsid w:val="18820CF2"/>
    <w:rsid w:val="1FAD2D9E"/>
    <w:rsid w:val="24CC4178"/>
    <w:rsid w:val="2BB17AB8"/>
    <w:rsid w:val="32B7327A"/>
    <w:rsid w:val="386B1ED2"/>
    <w:rsid w:val="42E7040C"/>
    <w:rsid w:val="47526640"/>
    <w:rsid w:val="49003F62"/>
    <w:rsid w:val="4C0152A4"/>
    <w:rsid w:val="4FB43AB0"/>
    <w:rsid w:val="50EE60CE"/>
    <w:rsid w:val="64021E4D"/>
    <w:rsid w:val="64507940"/>
    <w:rsid w:val="74773165"/>
    <w:rsid w:val="77451C74"/>
    <w:rsid w:val="7A8E4988"/>
    <w:rsid w:val="7F730EEE"/>
    <w:rsid w:val="7FAE496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character" w:customStyle="1" w:styleId="10">
    <w:name w:val="Balloon Text Char"/>
    <w:basedOn w:val="6"/>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208</Words>
  <Characters>1192</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2017-11-20T09:06:00Z</dcterms:created>
  <dc:creator>lenovo</dc:creator>
  <cp:lastModifiedBy>Du</cp:lastModifiedBy>
  <cp:lastPrinted>2019-05-31T03:22:00Z</cp:lastPrinted>
  <dcterms:modified xsi:type="dcterms:W3CDTF">2019-08-02T07:52:44Z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