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6"/>
          <w:rFonts w:hint="eastAsia" w:ascii="方正小标宋简体" w:hAnsi="方正小标宋简体" w:eastAsia="方正小标宋简体" w:cs="方正小标宋简体"/>
          <w:b w:val="0"/>
          <w:bCs w:val="0"/>
          <w:kern w:val="2"/>
          <w:sz w:val="44"/>
          <w:szCs w:val="44"/>
          <w:lang w:val="en-US" w:eastAsia="zh-CN" w:bidi="ar-SA"/>
        </w:rPr>
      </w:pPr>
      <w:r>
        <w:rPr>
          <w:rStyle w:val="6"/>
          <w:rFonts w:hint="eastAsia" w:ascii="方正小标宋简体" w:hAnsi="方正小标宋简体" w:eastAsia="方正小标宋简体" w:cs="方正小标宋简体"/>
          <w:b w:val="0"/>
          <w:bCs w:val="0"/>
          <w:kern w:val="2"/>
          <w:sz w:val="44"/>
          <w:szCs w:val="44"/>
          <w:lang w:val="en-US" w:eastAsia="zh-CN" w:bidi="ar-SA"/>
        </w:rPr>
        <w:t>忻州市规划和自然资源局</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6"/>
          <w:rFonts w:hint="eastAsia" w:ascii="方正小标宋简体" w:hAnsi="方正小标宋简体" w:eastAsia="方正小标宋简体" w:cs="方正小标宋简体"/>
          <w:b w:val="0"/>
          <w:bCs w:val="0"/>
          <w:kern w:val="2"/>
          <w:sz w:val="44"/>
          <w:szCs w:val="44"/>
          <w:lang w:val="en-US" w:eastAsia="zh-CN" w:bidi="ar-SA"/>
        </w:rPr>
      </w:pPr>
      <w:r>
        <w:rPr>
          <w:rStyle w:val="6"/>
          <w:rFonts w:hint="eastAsia" w:ascii="方正小标宋简体" w:hAnsi="方正小标宋简体" w:eastAsia="方正小标宋简体" w:cs="方正小标宋简体"/>
          <w:b w:val="0"/>
          <w:bCs w:val="0"/>
          <w:kern w:val="2"/>
          <w:sz w:val="44"/>
          <w:szCs w:val="44"/>
          <w:lang w:val="en-US" w:eastAsia="zh-CN" w:bidi="ar-SA"/>
        </w:rPr>
        <w:t>关于组建规划和自然资源领域</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6"/>
          <w:rFonts w:hint="eastAsia" w:ascii="方正小标宋简体" w:hAnsi="方正小标宋简体" w:eastAsia="方正小标宋简体" w:cs="方正小标宋简体"/>
          <w:b w:val="0"/>
          <w:bCs w:val="0"/>
          <w:kern w:val="2"/>
          <w:sz w:val="44"/>
          <w:szCs w:val="44"/>
          <w:lang w:val="en-US" w:eastAsia="zh-CN" w:bidi="ar-SA"/>
        </w:rPr>
      </w:pPr>
      <w:r>
        <w:rPr>
          <w:rStyle w:val="6"/>
          <w:rFonts w:hint="eastAsia" w:ascii="方正小标宋简体" w:hAnsi="方正小标宋简体" w:eastAsia="方正小标宋简体" w:cs="方正小标宋简体"/>
          <w:b w:val="0"/>
          <w:bCs w:val="0"/>
          <w:kern w:val="2"/>
          <w:sz w:val="44"/>
          <w:szCs w:val="44"/>
          <w:lang w:val="en-US" w:eastAsia="zh-CN" w:bidi="ar-SA"/>
        </w:rPr>
        <w:t>技术服务专家库的公告</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Style w:val="6"/>
          <w:rFonts w:hint="eastAsia" w:ascii="仿宋_GB2312" w:hAnsi="仿宋_GB2312" w:eastAsia="仿宋_GB2312" w:cs="仿宋_GB2312"/>
          <w:b w:val="0"/>
          <w:bCs w:val="0"/>
          <w:color w:val="auto"/>
          <w:kern w:val="2"/>
          <w:sz w:val="44"/>
          <w:szCs w:val="44"/>
          <w:lang w:val="en-US" w:eastAsia="zh-CN" w:bidi="ar-SA"/>
        </w:rPr>
      </w:pPr>
      <w:bookmarkStart w:id="0" w:name="_GoBack"/>
      <w:bookmarkEnd w:id="0"/>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Style w:val="6"/>
          <w:rFonts w:hint="eastAsia" w:ascii="仿宋_GB2312" w:hAnsi="仿宋_GB2312" w:eastAsia="仿宋_GB2312" w:cs="仿宋_GB2312"/>
          <w:b w:val="0"/>
          <w:bCs w:val="0"/>
          <w:color w:val="auto"/>
          <w:kern w:val="2"/>
          <w:sz w:val="28"/>
          <w:szCs w:val="28"/>
          <w:lang w:val="en-US" w:eastAsia="zh-CN" w:bidi="ar-SA"/>
        </w:rPr>
      </w:pPr>
      <w:r>
        <w:rPr>
          <w:rStyle w:val="6"/>
          <w:rFonts w:hint="eastAsia" w:ascii="仿宋_GB2312" w:hAnsi="仿宋_GB2312" w:eastAsia="仿宋_GB2312" w:cs="仿宋_GB2312"/>
          <w:b w:val="0"/>
          <w:bCs w:val="0"/>
          <w:color w:val="auto"/>
          <w:kern w:val="2"/>
          <w:sz w:val="28"/>
          <w:szCs w:val="28"/>
          <w:lang w:val="en-US" w:eastAsia="zh-CN" w:bidi="ar-SA"/>
        </w:rPr>
        <w:t>2019年 第2 号</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Style w:val="6"/>
          <w:rFonts w:hint="eastAsia" w:ascii="仿宋_GB2312" w:hAnsi="仿宋_GB2312" w:eastAsia="仿宋_GB2312" w:cs="仿宋_GB2312"/>
          <w:b w:val="0"/>
          <w:bCs w:val="0"/>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color w:val="000000"/>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为进一步提高规划和自然资源管理和服务水平，发挥各类技术专家在项目建设前期研究、项目谋划、审批、竣工验收等方面技术支持的重要作用，忻州市规划和自然资源局决定面向社会公开诚聘具有相关资质或资格的专家，组建忻州市规划和自然资源领域技术服务专家库，欢迎各有关单位和专家积</w:t>
      </w:r>
      <w:r>
        <w:rPr>
          <w:rStyle w:val="6"/>
          <w:rFonts w:hint="eastAsia" w:ascii="仿宋_GB2312" w:hAnsi="仿宋_GB2312" w:eastAsia="仿宋_GB2312" w:cs="仿宋_GB2312"/>
          <w:color w:val="000000"/>
          <w:kern w:val="2"/>
          <w:sz w:val="32"/>
          <w:szCs w:val="32"/>
          <w:lang w:val="en-US" w:eastAsia="zh-CN" w:bidi="ar-SA"/>
        </w:rPr>
        <w:t>极举荐和自荐。现将有关事项公告如下：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720" w:leftChars="0" w:firstLineChars="0"/>
        <w:jc w:val="left"/>
        <w:textAlignment w:val="auto"/>
        <w:rPr>
          <w:rStyle w:val="6"/>
          <w:rFonts w:hint="eastAsia" w:ascii="黑体" w:hAnsi="黑体" w:eastAsia="黑体" w:cs="黑体"/>
          <w:b w:val="0"/>
          <w:bCs w:val="0"/>
          <w:color w:val="000000"/>
          <w:kern w:val="2"/>
          <w:sz w:val="32"/>
          <w:szCs w:val="32"/>
          <w:lang w:val="en-US" w:eastAsia="zh-CN" w:bidi="ar-SA"/>
        </w:rPr>
      </w:pPr>
      <w:r>
        <w:rPr>
          <w:rStyle w:val="6"/>
          <w:rFonts w:hint="eastAsia" w:ascii="黑体" w:hAnsi="黑体" w:eastAsia="黑体" w:cs="黑体"/>
          <w:b w:val="0"/>
          <w:bCs w:val="0"/>
          <w:color w:val="000000"/>
          <w:kern w:val="2"/>
          <w:sz w:val="32"/>
          <w:szCs w:val="32"/>
          <w:lang w:val="en-US" w:eastAsia="zh-CN" w:bidi="ar-SA"/>
        </w:rPr>
        <w:t>拟建技术服务专家库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1.地质灾害防治、地质环境治理、绿色矿山建设专家库。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包括：地质（水文地质、工程地质、矿山地质）、采矿工程、岩土工程、工程造价等方面的专家。</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矿山综合开发利用评审验收督查专家库(矿山综合开发利用、矿产资源地质勘查报告、资源储量核实报告及矿产资源储量年报评审、矿业权人勘查开采信息公示实地核查、督查专家库)。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包括：地质勘查、采矿工程、选矿工程、水工环地质、土地整理、水土保持、生态环境、工程造价、工程设计等具备中、高级专业技术职称及相应资格证书的专家。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3.土地开发整理复垦和土地规划项目建设评审验收专家。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包括：水文地质、工程设计、水利工程、电力工程、土壤、工程造价师、注册会计师、工程监理、土地规划、测绘地理信息等方面的专家。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4.国土空间规划评审专家库。</w:t>
      </w:r>
    </w:p>
    <w:p>
      <w:pPr>
        <w:pStyle w:val="9"/>
        <w:keepNext w:val="0"/>
        <w:keepLines w:val="0"/>
        <w:pageBreakBefore w:val="0"/>
        <w:widowControl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6"/>
          <w:rFonts w:hint="eastAsia" w:ascii="仿宋_GB2312" w:hAnsi="仿宋_GB2312" w:eastAsia="仿宋_GB2312" w:cs="仿宋_GB2312"/>
          <w:b w:val="0"/>
          <w:bCs w:val="0"/>
          <w:kern w:val="2"/>
          <w:sz w:val="32"/>
          <w:szCs w:val="32"/>
          <w:lang w:val="en-US" w:eastAsia="zh-CN" w:bidi="ar-SA"/>
        </w:rPr>
      </w:pPr>
      <w:r>
        <w:rPr>
          <w:rStyle w:val="6"/>
          <w:rFonts w:hint="eastAsia" w:ascii="仿宋_GB2312" w:hAnsi="仿宋_GB2312" w:eastAsia="仿宋_GB2312" w:cs="仿宋_GB2312"/>
          <w:b w:val="0"/>
          <w:bCs w:val="0"/>
          <w:kern w:val="0"/>
          <w:sz w:val="32"/>
          <w:szCs w:val="32"/>
          <w:lang w:val="en-US" w:eastAsia="zh-CN"/>
        </w:rPr>
        <w:t>包括：</w:t>
      </w:r>
      <w:r>
        <w:rPr>
          <w:rStyle w:val="6"/>
          <w:rFonts w:hint="eastAsia" w:ascii="仿宋_GB2312" w:hAnsi="仿宋_GB2312" w:eastAsia="仿宋_GB2312" w:cs="仿宋_GB2312"/>
          <w:b w:val="0"/>
          <w:bCs w:val="0"/>
          <w:kern w:val="2"/>
          <w:sz w:val="32"/>
          <w:szCs w:val="32"/>
          <w:lang w:val="en-US" w:eastAsia="zh-CN" w:bidi="ar-SA"/>
        </w:rPr>
        <w:t>土地规划、城乡规划、区域规划、土地资源管理、地理学、环境保护、环境规划与管理、环境工程、环境监测与评价、建筑学、建筑设计、园林景观、农学、农业资源与环境、林学、城市园林、城市管理、市政工程、安全技术管理、消防工程、城市应急救援辅助决策技术、工业工程、电力工程及其自动化、交通运输管理、公路工程管理、道路桥梁工程技术、水资源规划和利用、水利水电工程、水利防洪、给水排水工程、水土保持、水工环地质、采矿工程、土壤学、旅游管理、测绘地理信息系统、文化事业管理、文物保护、经济学、能源学、人口学等相关专业领域的专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5.林地使用评审专家库。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包括：生物多样性、保护地管理、林业调查规划设计等方面的专家。要求入库专家具有副高以上职称且熟悉建设项目使用林地的相关法律、法规、政策、办法及文件。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720" w:leftChars="0"/>
        <w:jc w:val="left"/>
        <w:textAlignment w:val="auto"/>
        <w:rPr>
          <w:rStyle w:val="6"/>
          <w:rFonts w:hint="eastAsia" w:ascii="黑体" w:hAnsi="黑体" w:eastAsia="黑体" w:cs="黑体"/>
          <w:b w:val="0"/>
          <w:bCs w:val="0"/>
          <w:color w:val="000000"/>
          <w:kern w:val="2"/>
          <w:sz w:val="32"/>
          <w:szCs w:val="32"/>
          <w:lang w:val="en-US" w:eastAsia="zh-CN" w:bidi="ar-SA"/>
        </w:rPr>
      </w:pPr>
      <w:r>
        <w:rPr>
          <w:rStyle w:val="6"/>
          <w:rFonts w:hint="eastAsia" w:ascii="黑体" w:hAnsi="黑体" w:eastAsia="黑体" w:cs="黑体"/>
          <w:b w:val="0"/>
          <w:bCs w:val="0"/>
          <w:color w:val="000000"/>
          <w:kern w:val="2"/>
          <w:sz w:val="32"/>
          <w:szCs w:val="32"/>
          <w:lang w:val="en-US" w:eastAsia="zh-CN" w:bidi="ar-SA"/>
        </w:rPr>
        <w:t>二、技术服务专家库入库专家成员条件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1.具有良好的职业道德，坚持原则，态度认真，在研究、谋划、审批、验收、资询等活动中能够做到客观公正、廉洁自律、遵纪守法。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2.具有相关专业中级及中级以上技术职称，精通所属行业专业知识，熟悉相关法律、法规和政策，了解本领域国内外情况和前沿动态。在所在专业领域获得过重要国际或国家级奖项。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3.年龄一般不超过65岁，身体健康，能正常承担工作且不得兼职过多。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4.无违法违规和违反职业道德行为。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5..选聘专家主要从山西范围内诚邀。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720" w:leftChars="0"/>
        <w:jc w:val="left"/>
        <w:textAlignment w:val="auto"/>
        <w:rPr>
          <w:rStyle w:val="6"/>
          <w:rFonts w:hint="eastAsia" w:ascii="黑体" w:hAnsi="黑体" w:eastAsia="黑体" w:cs="黑体"/>
          <w:b w:val="0"/>
          <w:bCs w:val="0"/>
          <w:color w:val="000000"/>
          <w:kern w:val="2"/>
          <w:sz w:val="32"/>
          <w:szCs w:val="32"/>
          <w:lang w:val="en-US" w:eastAsia="zh-CN" w:bidi="ar-SA"/>
        </w:rPr>
      </w:pPr>
      <w:r>
        <w:rPr>
          <w:rStyle w:val="6"/>
          <w:rFonts w:hint="eastAsia" w:ascii="黑体" w:hAnsi="黑体" w:eastAsia="黑体" w:cs="黑体"/>
          <w:b w:val="0"/>
          <w:bCs w:val="0"/>
          <w:color w:val="000000"/>
          <w:kern w:val="2"/>
          <w:sz w:val="32"/>
          <w:szCs w:val="32"/>
          <w:lang w:val="en-US" w:eastAsia="zh-CN" w:bidi="ar-SA"/>
        </w:rPr>
        <w:t>三、选聘程序</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720" w:leftChars="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报名推荐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报名可采取单位推荐、专家推荐和自我推荐等方式。采用单位推荐方式，单位需出具推荐意见，并加盖公章。采用专家推荐方式，需由两名具有本专业正高级职称的专家推荐，附专家推荐意见书和专家资格证书复印件。</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720" w:leftChars="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专家提供相关资料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1、证明本人身份的有效证件。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2、职称、学历、学位证明材料。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3、工作业绩证明材料，包括主编或参编的国家或行业标准、规范，以及近三年来获得的国际、国家级和省部级奖项证书、重点课题研究成果情况报告等有关文件，出版发行的专著或教材，或拥有的专利、专有技术证书。</w:t>
      </w: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6"/>
          <w:rFonts w:hint="eastAsia" w:ascii="仿宋_GB2312" w:hAnsi="仿宋_GB2312" w:eastAsia="仿宋_GB2312" w:cs="仿宋_GB2312"/>
          <w:kern w:val="0"/>
          <w:sz w:val="32"/>
          <w:szCs w:val="32"/>
          <w:lang w:val="en-US" w:eastAsia="zh-CN"/>
        </w:rPr>
      </w:pPr>
      <w:r>
        <w:rPr>
          <w:rStyle w:val="6"/>
          <w:rFonts w:hint="eastAsia" w:ascii="仿宋_GB2312" w:hAnsi="仿宋_GB2312" w:eastAsia="仿宋_GB2312" w:cs="仿宋_GB2312"/>
          <w:kern w:val="0"/>
          <w:sz w:val="32"/>
          <w:szCs w:val="32"/>
          <w:lang w:val="en-US" w:eastAsia="zh-CN"/>
        </w:rPr>
        <w:t>4、申请入库专家请从邮箱</w:t>
      </w:r>
      <w:r>
        <w:rPr>
          <w:rStyle w:val="6"/>
          <w:rFonts w:hint="eastAsia" w:ascii="仿宋_GB2312" w:hAnsi="仿宋_GB2312" w:eastAsia="仿宋_GB2312" w:cs="仿宋_GB2312"/>
          <w:color w:val="000000"/>
          <w:kern w:val="0"/>
          <w:sz w:val="32"/>
          <w:szCs w:val="32"/>
          <w:lang w:val="en-US" w:eastAsia="zh-CN"/>
        </w:rPr>
        <w:t>xzszrjlzb@163.com（密码：lzb123456)</w:t>
      </w:r>
      <w:r>
        <w:rPr>
          <w:rStyle w:val="6"/>
          <w:rFonts w:hint="eastAsia" w:ascii="仿宋_GB2312" w:hAnsi="仿宋_GB2312" w:eastAsia="仿宋_GB2312" w:cs="仿宋_GB2312"/>
          <w:kern w:val="0"/>
          <w:sz w:val="32"/>
          <w:szCs w:val="32"/>
          <w:lang w:val="en-US" w:eastAsia="zh-CN"/>
        </w:rPr>
        <w:t>下载《忻州市规划和自然资源局技术服务专家库申请表》填写打印，按要求贴好照片，连同身份证、学历学位证、资格培训证及其他证明材料复印件邮寄至山西省忻州市规划和自然资源局712室，材料信封表面注明：技术服务专家库成员申报。申请表和相关证明材料的电子版请压缩发送至电子邮箱：xzszrjlzb@163.com</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720" w:leftChars="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截止日期</w:t>
      </w: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kern w:val="2"/>
          <w:sz w:val="32"/>
          <w:szCs w:val="32"/>
          <w:lang w:val="en-US" w:eastAsia="zh-CN" w:bidi="ar-SA"/>
        </w:rPr>
        <w:t>本次</w:t>
      </w:r>
      <w:r>
        <w:rPr>
          <w:rStyle w:val="6"/>
          <w:rFonts w:hint="eastAsia" w:ascii="仿宋_GB2312" w:hAnsi="仿宋_GB2312" w:eastAsia="仿宋_GB2312" w:cs="仿宋_GB2312"/>
          <w:color w:val="000000"/>
          <w:kern w:val="0"/>
          <w:sz w:val="32"/>
          <w:szCs w:val="32"/>
          <w:lang w:val="en-US" w:eastAsia="zh-CN"/>
        </w:rPr>
        <w:t>邀请</w:t>
      </w:r>
      <w:r>
        <w:rPr>
          <w:rStyle w:val="6"/>
          <w:rFonts w:hint="eastAsia" w:ascii="仿宋_GB2312" w:hAnsi="仿宋_GB2312" w:eastAsia="仿宋_GB2312" w:cs="仿宋_GB2312"/>
          <w:kern w:val="2"/>
          <w:sz w:val="32"/>
          <w:szCs w:val="32"/>
          <w:lang w:val="en-US" w:eastAsia="zh-CN" w:bidi="ar-SA"/>
        </w:rPr>
        <w:t>活动报名截止时间：2019年 8月31日</w:t>
      </w:r>
      <w:r>
        <w:rPr>
          <w:rStyle w:val="6"/>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720" w:leftChars="0"/>
        <w:jc w:val="left"/>
        <w:textAlignment w:val="auto"/>
        <w:rPr>
          <w:rStyle w:val="6"/>
          <w:rFonts w:hint="eastAsia" w:ascii="楷体_GB2312" w:hAnsi="楷体_GB2312" w:eastAsia="楷体_GB2312" w:cs="楷体_GB2312"/>
          <w:color w:val="000000"/>
          <w:kern w:val="2"/>
          <w:sz w:val="32"/>
          <w:szCs w:val="32"/>
          <w:lang w:val="en-US" w:eastAsia="zh-CN" w:bidi="ar-SA"/>
        </w:rPr>
      </w:pPr>
      <w:r>
        <w:rPr>
          <w:rStyle w:val="6"/>
          <w:rFonts w:hint="eastAsia" w:ascii="楷体_GB2312" w:hAnsi="楷体_GB2312" w:eastAsia="楷体_GB2312" w:cs="楷体_GB2312"/>
          <w:color w:val="000000"/>
          <w:kern w:val="2"/>
          <w:sz w:val="32"/>
          <w:szCs w:val="32"/>
          <w:lang w:val="en-US" w:eastAsia="zh-CN" w:bidi="ar-SA"/>
        </w:rPr>
        <w:t>专家入库</w:t>
      </w: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6"/>
          <w:rFonts w:hint="eastAsia" w:ascii="仿宋_GB2312" w:hAnsi="仿宋_GB2312" w:eastAsia="仿宋_GB2312" w:cs="仿宋_GB2312"/>
          <w:kern w:val="2"/>
          <w:sz w:val="32"/>
          <w:szCs w:val="32"/>
          <w:lang w:val="en-US" w:eastAsia="zh-CN" w:bidi="ar-SA"/>
        </w:rPr>
      </w:pPr>
      <w:r>
        <w:rPr>
          <w:rStyle w:val="6"/>
          <w:rFonts w:hint="eastAsia" w:ascii="仿宋_GB2312" w:hAnsi="仿宋_GB2312" w:eastAsia="仿宋_GB2312" w:cs="仿宋_GB2312"/>
          <w:kern w:val="2"/>
          <w:sz w:val="32"/>
          <w:szCs w:val="32"/>
          <w:lang w:val="en-US" w:eastAsia="zh-CN" w:bidi="ar-SA"/>
        </w:rPr>
        <w:t>忻州市规划和自然资源局会同有关方面人员和专家对材料进行审查。对符合条件邀请进入技术服务专家库的，根据工作需要随机抽选专家从事相关技术服务工作，并按有关规定给予报酬。</w:t>
      </w: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6"/>
          <w:rFonts w:hint="eastAsia" w:ascii="黑体" w:hAnsi="黑体" w:eastAsia="黑体" w:cs="黑体"/>
          <w:b w:val="0"/>
          <w:bCs w:val="0"/>
          <w:color w:val="000000"/>
          <w:kern w:val="0"/>
          <w:sz w:val="32"/>
          <w:szCs w:val="32"/>
          <w:lang w:val="en-US" w:eastAsia="zh-CN"/>
        </w:rPr>
      </w:pPr>
      <w:r>
        <w:rPr>
          <w:rStyle w:val="6"/>
          <w:rFonts w:hint="eastAsia" w:ascii="黑体" w:hAnsi="黑体" w:eastAsia="黑体" w:cs="黑体"/>
          <w:b w:val="0"/>
          <w:bCs w:val="0"/>
          <w:color w:val="000000"/>
          <w:kern w:val="0"/>
          <w:sz w:val="32"/>
          <w:szCs w:val="32"/>
          <w:lang w:val="en-US" w:eastAsia="zh-CN"/>
        </w:rPr>
        <w:t>四、其它</w:t>
      </w: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320" w:firstLineChars="1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联系人：刘孝斌</w:t>
      </w: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320" w:firstLineChars="1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电话：15110567199</w:t>
      </w: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320" w:firstLineChars="1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通讯地址：山西省忻州市规划和自然资源局</w:t>
      </w: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60" w:lineRule="exact"/>
        <w:ind w:left="0" w:right="0" w:firstLine="320" w:firstLineChars="1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邮编：034000</w:t>
      </w: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rPr>
          <w:rStyle w:val="6"/>
          <w:rFonts w:hint="eastAsia" w:ascii="仿宋_GB2312" w:hAnsi="仿宋_GB2312" w:eastAsia="仿宋_GB2312" w:cs="仿宋_GB2312"/>
          <w:color w:val="000000"/>
          <w:kern w:val="0"/>
          <w:sz w:val="32"/>
          <w:szCs w:val="32"/>
          <w:lang w:val="en-US" w:eastAsia="zh-CN"/>
        </w:rPr>
      </w:pP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600" w:lineRule="exact"/>
        <w:ind w:left="0" w:right="0" w:firstLine="320" w:firstLineChars="100"/>
        <w:jc w:val="both"/>
        <w:textAlignment w:val="auto"/>
        <w:rPr>
          <w:rStyle w:val="6"/>
          <w:rFonts w:hint="eastAsia" w:ascii="仿宋_GB2312" w:hAnsi="仿宋_GB2312" w:eastAsia="仿宋_GB2312" w:cs="仿宋_GB2312"/>
          <w:color w:val="000000"/>
          <w:kern w:val="0"/>
          <w:sz w:val="32"/>
          <w:szCs w:val="32"/>
          <w:lang w:val="en-US" w:eastAsia="zh-CN"/>
        </w:rPr>
      </w:pP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600" w:lineRule="exact"/>
        <w:ind w:right="0" w:firstLine="3840" w:firstLineChars="1200"/>
        <w:jc w:val="both"/>
        <w:textAlignment w:val="auto"/>
        <w:rPr>
          <w:rStyle w:val="6"/>
          <w:rFonts w:hint="eastAsia" w:ascii="仿宋_GB2312" w:hAnsi="仿宋_GB2312" w:eastAsia="仿宋_GB2312" w:cs="仿宋_GB2312"/>
          <w:color w:val="000000"/>
          <w:kern w:val="0"/>
          <w:sz w:val="32"/>
          <w:szCs w:val="32"/>
          <w:lang w:val="en-US" w:eastAsia="zh-CN"/>
        </w:rPr>
      </w:pPr>
      <w:r>
        <w:rPr>
          <w:rStyle w:val="6"/>
          <w:rFonts w:hint="eastAsia" w:ascii="仿宋_GB2312" w:hAnsi="仿宋_GB2312" w:eastAsia="仿宋_GB2312" w:cs="仿宋_GB2312"/>
          <w:color w:val="000000"/>
          <w:kern w:val="0"/>
          <w:sz w:val="32"/>
          <w:szCs w:val="32"/>
          <w:lang w:val="en-US" w:eastAsia="zh-CN"/>
        </w:rPr>
        <w:t>忻州市规划和自然资源局</w:t>
      </w:r>
    </w:p>
    <w:p>
      <w:pPr>
        <w:pStyle w:val="11"/>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600" w:lineRule="exact"/>
        <w:ind w:left="0" w:right="0" w:firstLine="4480" w:firstLineChars="1400"/>
        <w:jc w:val="both"/>
        <w:textAlignment w:val="auto"/>
        <w:rPr>
          <w:rStyle w:val="6"/>
          <w:rFonts w:ascii="宋体" w:hAnsi="宋体" w:eastAsia="宋体"/>
          <w:color w:val="000000"/>
          <w:kern w:val="0"/>
          <w:sz w:val="30"/>
          <w:szCs w:val="30"/>
          <w:lang w:val="en-US" w:eastAsia="zh-CN"/>
        </w:rPr>
      </w:pPr>
      <w:r>
        <w:rPr>
          <w:rStyle w:val="6"/>
          <w:rFonts w:hint="eastAsia" w:ascii="仿宋_GB2312" w:hAnsi="仿宋_GB2312" w:eastAsia="仿宋_GB2312" w:cs="仿宋_GB2312"/>
          <w:color w:val="000000"/>
          <w:kern w:val="0"/>
          <w:sz w:val="32"/>
          <w:szCs w:val="32"/>
          <w:lang w:val="en-US" w:eastAsia="zh-CN"/>
        </w:rPr>
        <w:t>2019年8月12日</w:t>
      </w:r>
    </w:p>
    <w:p>
      <w:pPr>
        <w:pStyle w:val="11"/>
        <w:widowControl/>
        <w:pBdr>
          <w:top w:val="none" w:color="000000" w:sz="0" w:space="0"/>
          <w:left w:val="none" w:color="000000" w:sz="0" w:space="0"/>
          <w:bottom w:val="none" w:color="000000" w:sz="0" w:space="0"/>
          <w:right w:val="none" w:color="000000" w:sz="0" w:space="0"/>
        </w:pBdr>
        <w:spacing w:before="0" w:after="226" w:line="240" w:lineRule="auto"/>
        <w:ind w:left="0" w:right="0" w:firstLine="300" w:firstLineChars="100"/>
        <w:jc w:val="both"/>
        <w:rPr>
          <w:rStyle w:val="6"/>
          <w:rFonts w:ascii="宋体" w:hAnsi="宋体" w:eastAsia="宋体"/>
          <w:color w:val="000000"/>
          <w:kern w:val="0"/>
          <w:sz w:val="30"/>
          <w:szCs w:val="30"/>
          <w:lang w:val="en-US" w:eastAsia="zh-CN"/>
        </w:rPr>
      </w:pPr>
    </w:p>
    <w:p>
      <w:pPr>
        <w:pStyle w:val="11"/>
        <w:widowControl/>
        <w:pBdr>
          <w:top w:val="none" w:color="000000" w:sz="0" w:space="0"/>
          <w:left w:val="none" w:color="000000" w:sz="0" w:space="0"/>
          <w:bottom w:val="none" w:color="000000" w:sz="0" w:space="0"/>
          <w:right w:val="none" w:color="000000" w:sz="0" w:space="0"/>
        </w:pBdr>
        <w:spacing w:before="0" w:after="226" w:line="240" w:lineRule="auto"/>
        <w:ind w:left="0" w:right="0" w:firstLine="300" w:firstLineChars="100"/>
        <w:jc w:val="both"/>
        <w:rPr>
          <w:rStyle w:val="6"/>
          <w:rFonts w:ascii="宋体" w:hAnsi="宋体" w:eastAsia="宋体"/>
          <w:color w:val="000000"/>
          <w:kern w:val="0"/>
          <w:sz w:val="30"/>
          <w:szCs w:val="30"/>
          <w:lang w:val="en-US" w:eastAsia="zh-CN"/>
        </w:rPr>
      </w:pPr>
    </w:p>
    <w:sectPr>
      <w:footerReference r:id="rId3" w:type="default"/>
      <w:pgSz w:w="11906" w:h="16838"/>
      <w:pgMar w:top="1440" w:right="1800" w:bottom="1440" w:left="1800"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spacing w:line="240" w:lineRule="auto"/>
      <w:jc w:val="left"/>
      <w:rPr>
        <w:rStyle w:val="6"/>
        <w:rFonts w:ascii="Times New Roman" w:hAnsi="Times New Roman" w:eastAsia="宋体"/>
        <w:kern w:val="2"/>
        <w:sz w:val="18"/>
        <w:szCs w:val="24"/>
        <w:lang w:val="en-US" w:eastAsia="zh-CN" w:bidi="ar-SA"/>
      </w:rPr>
    </w:pPr>
    <w:r>
      <w:rPr>
        <w:rStyle w:val="6"/>
        <w:rFonts w:ascii="Times New Roman" w:hAnsi="Times New Roman" w:eastAsia="宋体"/>
        <w:kern w:val="2"/>
        <w:sz w:val="18"/>
        <w:szCs w:val="24"/>
        <w:lang w:val="en-US" w:eastAsia="zh-CN" w:bidi="ar-SA"/>
      </w:rPr>
      <w:pict>
        <v:shape id="_x0000_s4097" o:spid="_x0000_s4097"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v:shape>
      </w:pict>
    </w:r>
  </w:p>
  <w:p>
    <w:pPr>
      <w:spacing w:line="240" w:lineRule="auto"/>
      <w:jc w:val="both"/>
      <w:rPr>
        <w:rStyle w:val="6"/>
        <w:rFonts w:ascii="Calibri" w:hAnsi="Calibri" w:eastAsia="宋体"/>
        <w:kern w:val="2"/>
        <w:sz w:val="21"/>
        <w:szCs w:val="24"/>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pPr>
        <w:widowControl/>
        <w:spacing w:line="240" w:lineRule="auto"/>
        <w:ind w:left="720" w:firstLine="0"/>
      </w:pPr>
      <w:rPr>
        <w:rStyle w:val="6"/>
      </w:rPr>
    </w:lvl>
  </w:abstractNum>
  <w:abstractNum w:abstractNumId="1">
    <w:nsid w:val="00000002"/>
    <w:multiLevelType w:val="singleLevel"/>
    <w:tmpl w:val="00000002"/>
    <w:lvl w:ilvl="0" w:tentative="0">
      <w:start w:val="1"/>
      <w:numFmt w:val="chineseCounting"/>
      <w:suff w:val="nothing"/>
      <w:lvlText w:val="（%1）"/>
      <w:lvlJc w:val="left"/>
      <w:pPr>
        <w:widowControl/>
        <w:spacing w:line="240" w:lineRule="auto"/>
      </w:pPr>
      <w:rPr>
        <w:rStyle w:val="6"/>
      </w:rPr>
    </w:lvl>
  </w:abstractNum>
  <w:abstractNum w:abstractNumId="2">
    <w:nsid w:val="00000003"/>
    <w:multiLevelType w:val="singleLevel"/>
    <w:tmpl w:val="00000003"/>
    <w:lvl w:ilvl="0" w:tentative="0">
      <w:start w:val="2"/>
      <w:numFmt w:val="decimal"/>
      <w:lvlText w:val="%1."/>
      <w:lvlJc w:val="left"/>
      <w:pPr>
        <w:widowControl/>
        <w:tabs>
          <w:tab w:val="left" w:pos="312"/>
        </w:tabs>
        <w:spacing w:line="240" w:lineRule="auto"/>
      </w:pPr>
      <w:rPr>
        <w:rStyle w:val="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10096F87"/>
    <w:rsid w:val="281D6D8D"/>
    <w:rsid w:val="2F5B7C6F"/>
    <w:rsid w:val="44B44B78"/>
    <w:rsid w:val="49383D07"/>
    <w:rsid w:val="715E38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uiPriority w:val="0"/>
    <w:pPr>
      <w:spacing w:line="240" w:lineRule="auto"/>
      <w:jc w:val="both"/>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pPr>
    <w:rPr>
      <w:rFonts w:ascii="Times New Roman" w:hAnsi="Times New Roman" w:eastAsia="宋体"/>
      <w:kern w:val="2"/>
      <w:sz w:val="18"/>
      <w:szCs w:val="24"/>
      <w:lang w:val="en-US" w:eastAsia="zh-CN" w:bidi="ar-SA"/>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pPr>
    <w:rPr>
      <w:rFonts w:ascii="Times New Roman" w:hAnsi="Times New Roman" w:eastAsia="宋体"/>
      <w:kern w:val="2"/>
      <w:sz w:val="18"/>
      <w:szCs w:val="24"/>
      <w:lang w:val="en-US" w:eastAsia="zh-CN" w:bidi="ar-SA"/>
    </w:rPr>
  </w:style>
  <w:style w:type="character" w:styleId="5">
    <w:name w:val="Strong"/>
    <w:basedOn w:val="6"/>
    <w:link w:val="1"/>
    <w:qFormat/>
    <w:uiPriority w:val="0"/>
    <w:rPr>
      <w:rFonts w:ascii="Times New Roman" w:hAnsi="Times New Roman" w:eastAsia="宋体"/>
      <w:b/>
    </w:rPr>
  </w:style>
  <w:style w:type="character" w:customStyle="1" w:styleId="6">
    <w:name w:val="NormalCharacter"/>
    <w:link w:val="1"/>
    <w:uiPriority w:val="0"/>
    <w:rPr>
      <w:rFonts w:ascii="Times New Roman" w:hAnsi="Times New Roman" w:eastAsia="宋体"/>
    </w:rPr>
  </w:style>
  <w:style w:type="character" w:styleId="7">
    <w:name w:val="Hyperlink"/>
    <w:basedOn w:val="6"/>
    <w:link w:val="1"/>
    <w:qFormat/>
    <w:uiPriority w:val="0"/>
    <w:rPr>
      <w:rFonts w:ascii="Times New Roman" w:hAnsi="Times New Roman" w:eastAsia="宋体"/>
      <w:color w:val="0000FF"/>
      <w:u w:val="single"/>
    </w:rPr>
  </w:style>
  <w:style w:type="paragraph" w:customStyle="1" w:styleId="9">
    <w:name w:val="Heading2"/>
    <w:basedOn w:val="1"/>
    <w:next w:val="1"/>
    <w:qFormat/>
    <w:uiPriority w:val="0"/>
    <w:pPr>
      <w:spacing w:before="100" w:beforeAutospacing="1" w:after="100" w:afterAutospacing="1" w:line="240" w:lineRule="auto"/>
      <w:jc w:val="left"/>
    </w:pPr>
    <w:rPr>
      <w:rFonts w:ascii="宋体" w:hAnsi="宋体" w:eastAsia="宋体"/>
      <w:b/>
      <w:kern w:val="0"/>
      <w:sz w:val="36"/>
      <w:szCs w:val="36"/>
      <w:lang w:val="en-US" w:eastAsia="zh-CN"/>
    </w:rPr>
  </w:style>
  <w:style w:type="table" w:customStyle="1" w:styleId="10">
    <w:name w:val="TableNormal"/>
    <w:qFormat/>
    <w:uiPriority w:val="0"/>
  </w:style>
  <w:style w:type="paragraph" w:customStyle="1" w:styleId="11">
    <w:name w:val="HtmlNormal"/>
    <w:basedOn w:val="1"/>
    <w:qFormat/>
    <w:uiPriority w:val="0"/>
    <w:pPr>
      <w:spacing w:before="100" w:beforeAutospacing="1" w:after="100" w:afterAutospacing="1" w:line="240" w:lineRule="auto"/>
      <w:ind w:left="0" w:right="0"/>
      <w:jc w:val="left"/>
    </w:pPr>
    <w:rPr>
      <w:rFonts w:ascii="Times New Roman" w:hAnsi="Times New Roman" w:eastAsia="宋体"/>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78</TotalTime>
  <ScaleCrop>false</ScaleCrop>
  <LinksUpToDate>false</LinksUpToDate>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2019-08-12T00:37:00Z</dcterms:created>
  <dc:creator>admin</dc:creator>
  <cp:lastModifiedBy>文印室</cp:lastModifiedBy>
  <dcterms:modified xsi:type="dcterms:W3CDTF">2019-08-12T08:16:32Z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