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3A8" w:rsidRDefault="006E03A8">
      <w:pPr>
        <w:spacing w:line="360" w:lineRule="auto"/>
        <w:jc w:val="center"/>
        <w:rPr>
          <w:rFonts w:ascii="宋体" w:eastAsia="宋体" w:hAnsi="宋体"/>
          <w:b/>
          <w:bCs/>
          <w:color w:val="auto"/>
          <w:sz w:val="36"/>
          <w:szCs w:val="36"/>
          <w:lang w:eastAsia="zh-CN"/>
        </w:rPr>
      </w:pPr>
    </w:p>
    <w:p w:rsidR="006E03A8" w:rsidRDefault="006E03A8">
      <w:pPr>
        <w:spacing w:line="360" w:lineRule="auto"/>
        <w:jc w:val="center"/>
        <w:rPr>
          <w:rFonts w:ascii="宋体" w:eastAsia="宋体" w:hAnsi="宋体"/>
          <w:b/>
          <w:bCs/>
          <w:color w:val="auto"/>
          <w:sz w:val="36"/>
          <w:szCs w:val="36"/>
          <w:lang w:eastAsia="zh-CN"/>
        </w:rPr>
      </w:pPr>
    </w:p>
    <w:p w:rsidR="006E03A8" w:rsidRDefault="002A1791">
      <w:pPr>
        <w:pStyle w:val="ac"/>
        <w:rPr>
          <w:rFonts w:ascii="宋体" w:hAnsi="宋体" w:cs="Arial"/>
          <w:color w:val="auto"/>
          <w:sz w:val="36"/>
          <w:szCs w:val="36"/>
          <w:lang w:eastAsia="zh-CN"/>
        </w:rPr>
      </w:pPr>
      <w:r>
        <w:rPr>
          <w:rFonts w:ascii="宋体" w:hAnsi="宋体" w:cs="Arial" w:hint="eastAsia"/>
          <w:color w:val="auto"/>
          <w:sz w:val="36"/>
          <w:szCs w:val="36"/>
          <w:lang w:eastAsia="zh-CN"/>
        </w:rPr>
        <w:t>《山西省五台县五台云海镁业有限公司大朴村</w:t>
      </w:r>
    </w:p>
    <w:p w:rsidR="006E03A8" w:rsidRDefault="002A1791">
      <w:pPr>
        <w:pStyle w:val="ac"/>
        <w:rPr>
          <w:rFonts w:ascii="宋体" w:hAnsi="宋体" w:cs="Arial"/>
          <w:color w:val="auto"/>
          <w:sz w:val="36"/>
          <w:szCs w:val="36"/>
          <w:lang w:eastAsia="zh-CN"/>
        </w:rPr>
      </w:pPr>
      <w:r>
        <w:rPr>
          <w:rFonts w:ascii="宋体" w:hAnsi="宋体" w:cs="Arial" w:hint="eastAsia"/>
          <w:color w:val="auto"/>
          <w:sz w:val="36"/>
          <w:szCs w:val="36"/>
          <w:lang w:eastAsia="zh-CN"/>
        </w:rPr>
        <w:t>冶镁用白云岩矿矿产资源开发利用方案》评审意见书</w:t>
      </w:r>
    </w:p>
    <w:p w:rsidR="006E03A8" w:rsidRDefault="002A1791">
      <w:pPr>
        <w:spacing w:line="360" w:lineRule="auto"/>
        <w:jc w:val="center"/>
        <w:rPr>
          <w:rFonts w:ascii="宋体" w:eastAsia="宋体" w:hAnsi="宋体"/>
          <w:b/>
          <w:bCs/>
          <w:color w:val="auto"/>
          <w:sz w:val="32"/>
          <w:szCs w:val="32"/>
          <w:lang w:eastAsia="zh-CN"/>
        </w:rPr>
      </w:pPr>
      <w:r>
        <w:rPr>
          <w:rFonts w:ascii="宋体" w:eastAsia="宋体" w:hAnsi="宋体" w:hint="eastAsia"/>
          <w:b/>
          <w:bCs/>
          <w:color w:val="auto"/>
          <w:sz w:val="32"/>
          <w:szCs w:val="32"/>
          <w:lang w:eastAsia="zh-CN"/>
        </w:rPr>
        <w:t>忻矿开审字(2024)</w:t>
      </w:r>
      <w:r w:rsidRPr="00EA616C">
        <w:rPr>
          <w:rFonts w:ascii="宋体" w:eastAsia="宋体" w:hAnsi="宋体" w:hint="eastAsia"/>
          <w:b/>
          <w:bCs/>
          <w:color w:val="FF0000"/>
          <w:sz w:val="32"/>
          <w:szCs w:val="32"/>
          <w:lang w:eastAsia="zh-CN"/>
        </w:rPr>
        <w:t>019</w:t>
      </w:r>
      <w:r>
        <w:rPr>
          <w:rFonts w:ascii="宋体" w:eastAsia="宋体" w:hAnsi="宋体" w:hint="eastAsia"/>
          <w:b/>
          <w:bCs/>
          <w:color w:val="auto"/>
          <w:sz w:val="32"/>
          <w:szCs w:val="32"/>
          <w:lang w:eastAsia="zh-CN"/>
        </w:rPr>
        <w:t>号</w:t>
      </w:r>
    </w:p>
    <w:p w:rsidR="006E03A8" w:rsidRDefault="006E03A8">
      <w:pPr>
        <w:spacing w:line="360" w:lineRule="auto"/>
        <w:jc w:val="center"/>
        <w:rPr>
          <w:rFonts w:ascii="宋体" w:eastAsia="宋体" w:hAnsi="宋体"/>
          <w:b/>
          <w:bCs/>
          <w:color w:val="auto"/>
          <w:sz w:val="32"/>
          <w:szCs w:val="32"/>
          <w:lang w:eastAsia="zh-CN"/>
        </w:rPr>
      </w:pPr>
      <w:bookmarkStart w:id="0" w:name="_GoBack"/>
      <w:bookmarkEnd w:id="0"/>
    </w:p>
    <w:p w:rsidR="006E03A8" w:rsidRDefault="006E03A8">
      <w:pPr>
        <w:spacing w:line="360" w:lineRule="auto"/>
        <w:jc w:val="center"/>
        <w:rPr>
          <w:rFonts w:ascii="宋体" w:eastAsia="宋体" w:hAnsi="宋体"/>
          <w:b/>
          <w:bCs/>
          <w:color w:val="auto"/>
          <w:sz w:val="32"/>
          <w:szCs w:val="32"/>
          <w:lang w:eastAsia="zh-CN"/>
        </w:rPr>
      </w:pPr>
    </w:p>
    <w:p w:rsidR="006E03A8" w:rsidRDefault="006E03A8">
      <w:pPr>
        <w:spacing w:line="360" w:lineRule="auto"/>
        <w:jc w:val="center"/>
        <w:rPr>
          <w:rFonts w:ascii="宋体" w:eastAsia="宋体" w:hAnsi="宋体"/>
          <w:b/>
          <w:bCs/>
          <w:color w:val="auto"/>
          <w:sz w:val="32"/>
          <w:szCs w:val="32"/>
          <w:lang w:eastAsia="zh-CN"/>
        </w:rPr>
      </w:pPr>
    </w:p>
    <w:p w:rsidR="006E03A8" w:rsidRDefault="006E03A8">
      <w:pPr>
        <w:spacing w:line="360" w:lineRule="auto"/>
        <w:jc w:val="center"/>
        <w:rPr>
          <w:rFonts w:ascii="宋体" w:eastAsia="宋体" w:hAnsi="宋体"/>
          <w:b/>
          <w:bCs/>
          <w:color w:val="auto"/>
          <w:sz w:val="32"/>
          <w:szCs w:val="32"/>
          <w:lang w:eastAsia="zh-CN"/>
        </w:rPr>
      </w:pPr>
    </w:p>
    <w:p w:rsidR="006E03A8" w:rsidRDefault="006E03A8">
      <w:pPr>
        <w:spacing w:line="360" w:lineRule="auto"/>
        <w:jc w:val="center"/>
        <w:rPr>
          <w:rFonts w:ascii="宋体" w:eastAsia="宋体" w:hAnsi="宋体"/>
          <w:b/>
          <w:bCs/>
          <w:color w:val="auto"/>
          <w:sz w:val="32"/>
          <w:szCs w:val="32"/>
          <w:lang w:eastAsia="zh-CN"/>
        </w:rPr>
      </w:pPr>
    </w:p>
    <w:p w:rsidR="006E03A8" w:rsidRDefault="006E03A8">
      <w:pPr>
        <w:spacing w:line="360" w:lineRule="auto"/>
        <w:jc w:val="center"/>
        <w:rPr>
          <w:rFonts w:ascii="宋体" w:eastAsia="宋体" w:hAnsi="宋体"/>
          <w:b/>
          <w:bCs/>
          <w:color w:val="auto"/>
          <w:sz w:val="32"/>
          <w:szCs w:val="32"/>
          <w:lang w:eastAsia="zh-CN"/>
        </w:rPr>
      </w:pPr>
    </w:p>
    <w:p w:rsidR="006E03A8" w:rsidRDefault="006E03A8">
      <w:pPr>
        <w:spacing w:line="360" w:lineRule="auto"/>
        <w:jc w:val="center"/>
        <w:rPr>
          <w:rFonts w:ascii="宋体" w:eastAsia="宋体" w:hAnsi="宋体"/>
          <w:b/>
          <w:bCs/>
          <w:color w:val="auto"/>
          <w:sz w:val="32"/>
          <w:szCs w:val="32"/>
          <w:lang w:eastAsia="zh-CN"/>
        </w:rPr>
      </w:pPr>
    </w:p>
    <w:p w:rsidR="006E03A8" w:rsidRDefault="006E03A8">
      <w:pPr>
        <w:spacing w:line="360" w:lineRule="auto"/>
        <w:jc w:val="center"/>
        <w:rPr>
          <w:rFonts w:ascii="宋体" w:eastAsia="宋体" w:hAnsi="宋体"/>
          <w:b/>
          <w:bCs/>
          <w:color w:val="auto"/>
          <w:sz w:val="32"/>
          <w:szCs w:val="32"/>
          <w:lang w:eastAsia="zh-CN"/>
        </w:rPr>
      </w:pPr>
    </w:p>
    <w:p w:rsidR="006E03A8" w:rsidRDefault="006E03A8">
      <w:pPr>
        <w:spacing w:line="360" w:lineRule="auto"/>
        <w:jc w:val="center"/>
        <w:rPr>
          <w:rFonts w:ascii="宋体" w:eastAsia="宋体" w:hAnsi="宋体"/>
          <w:b/>
          <w:bCs/>
          <w:color w:val="auto"/>
          <w:sz w:val="32"/>
          <w:szCs w:val="32"/>
          <w:lang w:eastAsia="zh-CN"/>
        </w:rPr>
      </w:pPr>
    </w:p>
    <w:p w:rsidR="006E03A8" w:rsidRDefault="006E03A8">
      <w:pPr>
        <w:spacing w:line="360" w:lineRule="auto"/>
        <w:jc w:val="center"/>
        <w:rPr>
          <w:rFonts w:ascii="宋体" w:eastAsia="宋体" w:hAnsi="宋体"/>
          <w:b/>
          <w:bCs/>
          <w:color w:val="auto"/>
          <w:sz w:val="32"/>
          <w:szCs w:val="32"/>
          <w:lang w:eastAsia="zh-CN"/>
        </w:rPr>
      </w:pPr>
    </w:p>
    <w:p w:rsidR="006E03A8" w:rsidRDefault="006E03A8">
      <w:pPr>
        <w:spacing w:line="360" w:lineRule="auto"/>
        <w:jc w:val="center"/>
        <w:rPr>
          <w:rFonts w:ascii="宋体" w:eastAsia="宋体" w:hAnsi="宋体"/>
          <w:b/>
          <w:bCs/>
          <w:color w:val="auto"/>
          <w:sz w:val="32"/>
          <w:szCs w:val="32"/>
          <w:lang w:eastAsia="zh-CN"/>
        </w:rPr>
      </w:pPr>
    </w:p>
    <w:p w:rsidR="006E03A8" w:rsidRDefault="002A1791">
      <w:pPr>
        <w:spacing w:line="360" w:lineRule="auto"/>
        <w:jc w:val="center"/>
        <w:rPr>
          <w:rFonts w:ascii="宋体" w:eastAsia="宋体" w:hAnsi="宋体"/>
          <w:b/>
          <w:bCs/>
          <w:color w:val="auto"/>
          <w:sz w:val="32"/>
          <w:szCs w:val="32"/>
          <w:lang w:eastAsia="zh-CN"/>
        </w:rPr>
      </w:pPr>
      <w:r>
        <w:rPr>
          <w:rFonts w:ascii="宋体" w:eastAsia="宋体" w:hAnsi="宋体" w:hint="eastAsia"/>
          <w:b/>
          <w:bCs/>
          <w:color w:val="auto"/>
          <w:sz w:val="32"/>
          <w:szCs w:val="32"/>
          <w:lang w:eastAsia="zh-CN"/>
        </w:rPr>
        <w:t>忻州市矿产资源开发利用方案评审专家组</w:t>
      </w:r>
    </w:p>
    <w:p w:rsidR="006E03A8" w:rsidRDefault="002A1791">
      <w:pPr>
        <w:spacing w:line="360" w:lineRule="auto"/>
        <w:jc w:val="center"/>
        <w:rPr>
          <w:rFonts w:ascii="宋体" w:eastAsia="宋体" w:hAnsi="宋体"/>
          <w:b/>
          <w:bCs/>
          <w:color w:val="auto"/>
          <w:sz w:val="32"/>
          <w:szCs w:val="32"/>
          <w:lang w:eastAsia="zh-CN"/>
        </w:rPr>
        <w:sectPr w:rsidR="006E03A8">
          <w:headerReference w:type="default" r:id="rId8"/>
          <w:footerReference w:type="default" r:id="rId9"/>
          <w:pgSz w:w="11906" w:h="16839"/>
          <w:pgMar w:top="1474" w:right="1786" w:bottom="1474" w:left="1786" w:header="0" w:footer="0" w:gutter="0"/>
          <w:cols w:space="720"/>
        </w:sectPr>
      </w:pPr>
      <w:r>
        <w:rPr>
          <w:rFonts w:ascii="宋体" w:eastAsia="宋体" w:hAnsi="宋体" w:hint="eastAsia"/>
          <w:b/>
          <w:bCs/>
          <w:color w:val="auto"/>
          <w:sz w:val="32"/>
          <w:szCs w:val="32"/>
          <w:lang w:eastAsia="zh-CN"/>
        </w:rPr>
        <w:t>二〇二四年九月三十日</w:t>
      </w:r>
    </w:p>
    <w:p w:rsidR="006E03A8" w:rsidRDefault="006E03A8">
      <w:pPr>
        <w:pStyle w:val="a5"/>
        <w:spacing w:before="101" w:line="319" w:lineRule="auto"/>
        <w:ind w:left="2063" w:right="736" w:hanging="2036"/>
        <w:rPr>
          <w:b/>
          <w:bCs/>
          <w:color w:val="auto"/>
          <w:spacing w:val="-3"/>
          <w:lang w:eastAsia="zh-CN"/>
        </w:rPr>
      </w:pPr>
    </w:p>
    <w:p w:rsidR="006E03A8" w:rsidRDefault="006E03A8">
      <w:pPr>
        <w:pStyle w:val="a5"/>
        <w:spacing w:before="101" w:line="319" w:lineRule="auto"/>
        <w:ind w:left="2063" w:right="736" w:hanging="2036"/>
        <w:rPr>
          <w:b/>
          <w:bCs/>
          <w:color w:val="auto"/>
          <w:spacing w:val="-3"/>
          <w:lang w:eastAsia="zh-CN"/>
        </w:rPr>
      </w:pPr>
    </w:p>
    <w:tbl>
      <w:tblPr>
        <w:tblStyle w:val="a9"/>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007"/>
        <w:gridCol w:w="6167"/>
      </w:tblGrid>
      <w:tr w:rsidR="006E03A8">
        <w:trPr>
          <w:trHeight w:val="1358"/>
        </w:trPr>
        <w:tc>
          <w:tcPr>
            <w:tcW w:w="1639" w:type="pct"/>
            <w:vAlign w:val="center"/>
          </w:tcPr>
          <w:p w:rsidR="006E03A8" w:rsidRDefault="002A1791" w:rsidP="00EA616C">
            <w:pPr>
              <w:pStyle w:val="a5"/>
              <w:spacing w:afterLines="100" w:line="360" w:lineRule="auto"/>
              <w:jc w:val="center"/>
              <w:rPr>
                <w:b/>
                <w:bCs/>
                <w:color w:val="auto"/>
                <w:spacing w:val="-3"/>
                <w:sz w:val="32"/>
                <w:szCs w:val="32"/>
                <w:lang w:eastAsia="zh-CN"/>
              </w:rPr>
            </w:pPr>
            <w:r w:rsidRPr="00925AA8">
              <w:rPr>
                <w:b/>
                <w:bCs/>
                <w:color w:val="auto"/>
                <w:spacing w:val="225"/>
                <w:sz w:val="32"/>
                <w:szCs w:val="32"/>
                <w:fitText w:val="2568" w:id="1237719381"/>
                <w:lang w:eastAsia="zh-CN"/>
              </w:rPr>
              <w:t>方案名称</w:t>
            </w:r>
            <w:r w:rsidRPr="00925AA8">
              <w:rPr>
                <w:b/>
                <w:bCs/>
                <w:color w:val="auto"/>
                <w:spacing w:val="15"/>
                <w:sz w:val="32"/>
                <w:szCs w:val="32"/>
                <w:fitText w:val="2568" w:id="1237719381"/>
                <w:lang w:eastAsia="zh-CN"/>
              </w:rPr>
              <w:t>：</w:t>
            </w:r>
          </w:p>
        </w:tc>
        <w:tc>
          <w:tcPr>
            <w:tcW w:w="3361" w:type="pct"/>
          </w:tcPr>
          <w:p w:rsidR="006E03A8" w:rsidRDefault="002A1791">
            <w:pPr>
              <w:pStyle w:val="ac"/>
              <w:rPr>
                <w:color w:val="auto"/>
                <w:spacing w:val="-3"/>
                <w:sz w:val="32"/>
                <w:szCs w:val="32"/>
                <w:lang w:eastAsia="zh-CN"/>
              </w:rPr>
            </w:pPr>
            <w:r>
              <w:rPr>
                <w:rFonts w:ascii="宋体" w:hAnsi="宋体" w:cs="宋体" w:hint="eastAsia"/>
                <w:b w:val="0"/>
                <w:bCs w:val="0"/>
                <w:color w:val="auto"/>
                <w:spacing w:val="4"/>
                <w:sz w:val="32"/>
                <w:szCs w:val="32"/>
                <w:lang w:eastAsia="zh-CN"/>
              </w:rPr>
              <w:t>山西省五台县五台云海镁业有限公司大朴村冶镁用白云岩矿矿产资源开发利用方案</w:t>
            </w:r>
          </w:p>
        </w:tc>
      </w:tr>
      <w:tr w:rsidR="006E03A8">
        <w:tc>
          <w:tcPr>
            <w:tcW w:w="1639" w:type="pct"/>
            <w:vAlign w:val="center"/>
          </w:tcPr>
          <w:p w:rsidR="006E03A8" w:rsidRDefault="002A1791" w:rsidP="00EA616C">
            <w:pPr>
              <w:pStyle w:val="a5"/>
              <w:spacing w:afterLines="100" w:line="360" w:lineRule="auto"/>
              <w:jc w:val="center"/>
              <w:rPr>
                <w:b/>
                <w:bCs/>
                <w:color w:val="auto"/>
                <w:spacing w:val="240"/>
                <w:sz w:val="32"/>
                <w:szCs w:val="32"/>
                <w:lang w:eastAsia="zh-CN"/>
              </w:rPr>
            </w:pPr>
            <w:r w:rsidRPr="00925AA8">
              <w:rPr>
                <w:b/>
                <w:bCs/>
                <w:color w:val="auto"/>
                <w:spacing w:val="30"/>
                <w:sz w:val="32"/>
                <w:szCs w:val="32"/>
                <w:fitText w:val="2568" w:id="107904457"/>
                <w:lang w:eastAsia="zh-CN"/>
              </w:rPr>
              <w:t>方案编制单位</w:t>
            </w:r>
            <w:r w:rsidRPr="00925AA8">
              <w:rPr>
                <w:b/>
                <w:bCs/>
                <w:color w:val="auto"/>
                <w:spacing w:val="75"/>
                <w:sz w:val="32"/>
                <w:szCs w:val="32"/>
                <w:fitText w:val="2568" w:id="107904457"/>
                <w:lang w:eastAsia="zh-CN"/>
              </w:rPr>
              <w:t>：</w:t>
            </w:r>
          </w:p>
        </w:tc>
        <w:tc>
          <w:tcPr>
            <w:tcW w:w="3361" w:type="pct"/>
          </w:tcPr>
          <w:p w:rsidR="006E03A8" w:rsidRDefault="002A1791" w:rsidP="00EA616C">
            <w:pPr>
              <w:pStyle w:val="a5"/>
              <w:spacing w:before="101" w:afterLines="100" w:line="360" w:lineRule="auto"/>
              <w:ind w:left="27"/>
              <w:rPr>
                <w:b/>
                <w:bCs/>
                <w:color w:val="auto"/>
                <w:spacing w:val="-3"/>
                <w:sz w:val="32"/>
                <w:szCs w:val="32"/>
                <w:lang w:eastAsia="zh-CN"/>
              </w:rPr>
            </w:pPr>
            <w:r>
              <w:rPr>
                <w:rFonts w:hint="eastAsia"/>
                <w:color w:val="auto"/>
                <w:spacing w:val="4"/>
                <w:sz w:val="32"/>
                <w:szCs w:val="32"/>
                <w:lang w:eastAsia="zh-CN"/>
              </w:rPr>
              <w:t>山西省第九地质工程勘察院有限公司</w:t>
            </w:r>
          </w:p>
        </w:tc>
      </w:tr>
      <w:tr w:rsidR="006E03A8">
        <w:tc>
          <w:tcPr>
            <w:tcW w:w="1639" w:type="pct"/>
            <w:vAlign w:val="center"/>
          </w:tcPr>
          <w:p w:rsidR="006E03A8" w:rsidRDefault="002A1791" w:rsidP="00EA616C">
            <w:pPr>
              <w:pStyle w:val="a5"/>
              <w:spacing w:afterLines="100" w:line="360" w:lineRule="auto"/>
              <w:jc w:val="center"/>
              <w:rPr>
                <w:b/>
                <w:bCs/>
                <w:color w:val="auto"/>
                <w:spacing w:val="240"/>
                <w:sz w:val="32"/>
                <w:szCs w:val="32"/>
                <w:lang w:eastAsia="zh-CN"/>
              </w:rPr>
            </w:pPr>
            <w:r w:rsidRPr="00925AA8">
              <w:rPr>
                <w:b/>
                <w:bCs/>
                <w:color w:val="auto"/>
                <w:spacing w:val="30"/>
                <w:sz w:val="32"/>
                <w:szCs w:val="32"/>
                <w:fitText w:val="2569" w:id="286810208"/>
                <w:lang w:eastAsia="zh-CN"/>
              </w:rPr>
              <w:t>方案汇报人员</w:t>
            </w:r>
            <w:r w:rsidRPr="00925AA8">
              <w:rPr>
                <w:b/>
                <w:bCs/>
                <w:color w:val="auto"/>
                <w:spacing w:val="75"/>
                <w:sz w:val="32"/>
                <w:szCs w:val="32"/>
                <w:fitText w:val="2569" w:id="286810208"/>
                <w:lang w:eastAsia="zh-CN"/>
              </w:rPr>
              <w:t>：</w:t>
            </w:r>
          </w:p>
        </w:tc>
        <w:tc>
          <w:tcPr>
            <w:tcW w:w="3361" w:type="pct"/>
          </w:tcPr>
          <w:p w:rsidR="006E03A8" w:rsidRDefault="002A1791" w:rsidP="00EA616C">
            <w:pPr>
              <w:pStyle w:val="a5"/>
              <w:spacing w:before="101" w:afterLines="100" w:line="360" w:lineRule="auto"/>
              <w:ind w:left="27"/>
              <w:rPr>
                <w:b/>
                <w:bCs/>
                <w:color w:val="auto"/>
                <w:spacing w:val="-3"/>
                <w:sz w:val="32"/>
                <w:szCs w:val="32"/>
                <w:lang w:eastAsia="zh-CN"/>
              </w:rPr>
            </w:pPr>
            <w:r>
              <w:rPr>
                <w:rFonts w:hint="eastAsia"/>
                <w:color w:val="auto"/>
                <w:spacing w:val="4"/>
                <w:sz w:val="32"/>
                <w:szCs w:val="32"/>
                <w:lang w:eastAsia="zh-CN"/>
              </w:rPr>
              <w:t>窦丽霞</w:t>
            </w:r>
          </w:p>
        </w:tc>
      </w:tr>
      <w:tr w:rsidR="006E03A8">
        <w:tc>
          <w:tcPr>
            <w:tcW w:w="1639" w:type="pct"/>
            <w:vAlign w:val="center"/>
          </w:tcPr>
          <w:p w:rsidR="006E03A8" w:rsidRDefault="002A1791" w:rsidP="00EA616C">
            <w:pPr>
              <w:pStyle w:val="a5"/>
              <w:spacing w:afterLines="100" w:line="360" w:lineRule="auto"/>
              <w:jc w:val="center"/>
              <w:rPr>
                <w:b/>
                <w:bCs/>
                <w:color w:val="auto"/>
                <w:spacing w:val="240"/>
                <w:sz w:val="32"/>
                <w:szCs w:val="32"/>
                <w:lang w:eastAsia="zh-CN"/>
              </w:rPr>
            </w:pPr>
            <w:r w:rsidRPr="00925AA8">
              <w:rPr>
                <w:b/>
                <w:bCs/>
                <w:color w:val="auto"/>
                <w:spacing w:val="105"/>
                <w:sz w:val="32"/>
                <w:szCs w:val="32"/>
                <w:fitText w:val="2568" w:id="339227830"/>
                <w:lang w:eastAsia="zh-CN"/>
              </w:rPr>
              <w:t>专家组组长</w:t>
            </w:r>
            <w:r w:rsidRPr="00925AA8">
              <w:rPr>
                <w:b/>
                <w:bCs/>
                <w:color w:val="auto"/>
                <w:spacing w:val="60"/>
                <w:sz w:val="32"/>
                <w:szCs w:val="32"/>
                <w:fitText w:val="2568" w:id="339227830"/>
                <w:lang w:eastAsia="zh-CN"/>
              </w:rPr>
              <w:t>：</w:t>
            </w:r>
          </w:p>
        </w:tc>
        <w:tc>
          <w:tcPr>
            <w:tcW w:w="3361" w:type="pct"/>
          </w:tcPr>
          <w:p w:rsidR="006E03A8" w:rsidRDefault="002A1791" w:rsidP="00EA616C">
            <w:pPr>
              <w:pStyle w:val="a5"/>
              <w:spacing w:before="101" w:afterLines="100" w:line="360" w:lineRule="auto"/>
              <w:ind w:left="27"/>
              <w:rPr>
                <w:b/>
                <w:bCs/>
                <w:color w:val="auto"/>
                <w:spacing w:val="-3"/>
                <w:sz w:val="32"/>
                <w:szCs w:val="32"/>
                <w:lang w:eastAsia="zh-CN"/>
              </w:rPr>
            </w:pPr>
            <w:r>
              <w:rPr>
                <w:color w:val="auto"/>
                <w:spacing w:val="-7"/>
                <w:sz w:val="32"/>
                <w:szCs w:val="32"/>
                <w:lang w:eastAsia="zh-CN"/>
              </w:rPr>
              <w:t>印海南</w:t>
            </w:r>
          </w:p>
        </w:tc>
      </w:tr>
      <w:tr w:rsidR="006E03A8">
        <w:tc>
          <w:tcPr>
            <w:tcW w:w="1639" w:type="pct"/>
            <w:vAlign w:val="center"/>
          </w:tcPr>
          <w:p w:rsidR="006E03A8" w:rsidRDefault="002A1791" w:rsidP="00EA616C">
            <w:pPr>
              <w:pStyle w:val="a5"/>
              <w:spacing w:afterLines="100" w:line="360" w:lineRule="auto"/>
              <w:jc w:val="center"/>
              <w:rPr>
                <w:b/>
                <w:bCs/>
                <w:color w:val="auto"/>
                <w:spacing w:val="240"/>
                <w:sz w:val="32"/>
                <w:szCs w:val="32"/>
                <w:lang w:eastAsia="zh-CN"/>
              </w:rPr>
            </w:pPr>
            <w:r w:rsidRPr="00925AA8">
              <w:rPr>
                <w:b/>
                <w:bCs/>
                <w:color w:val="auto"/>
                <w:spacing w:val="105"/>
                <w:sz w:val="32"/>
                <w:szCs w:val="32"/>
                <w:fitText w:val="2568" w:id="85005202"/>
                <w:lang w:eastAsia="zh-CN"/>
              </w:rPr>
              <w:t>专家组成员</w:t>
            </w:r>
            <w:r w:rsidRPr="00925AA8">
              <w:rPr>
                <w:b/>
                <w:bCs/>
                <w:color w:val="auto"/>
                <w:spacing w:val="60"/>
                <w:sz w:val="32"/>
                <w:szCs w:val="32"/>
                <w:fitText w:val="2568" w:id="85005202"/>
                <w:lang w:eastAsia="zh-CN"/>
              </w:rPr>
              <w:t>：</w:t>
            </w:r>
          </w:p>
        </w:tc>
        <w:tc>
          <w:tcPr>
            <w:tcW w:w="3361" w:type="pct"/>
          </w:tcPr>
          <w:p w:rsidR="006E03A8" w:rsidRDefault="002A1791" w:rsidP="00EA616C">
            <w:pPr>
              <w:pStyle w:val="a5"/>
              <w:spacing w:before="101" w:afterLines="100" w:line="360" w:lineRule="auto"/>
              <w:ind w:left="27"/>
              <w:rPr>
                <w:color w:val="auto"/>
                <w:spacing w:val="2"/>
                <w:sz w:val="32"/>
                <w:szCs w:val="32"/>
                <w:lang w:eastAsia="zh-CN"/>
              </w:rPr>
            </w:pPr>
            <w:r>
              <w:rPr>
                <w:color w:val="auto"/>
                <w:spacing w:val="2"/>
                <w:sz w:val="32"/>
                <w:szCs w:val="32"/>
                <w:lang w:eastAsia="zh-CN"/>
              </w:rPr>
              <w:t>王永明</w:t>
            </w:r>
            <w:r>
              <w:rPr>
                <w:rFonts w:hint="eastAsia"/>
                <w:color w:val="auto"/>
                <w:spacing w:val="2"/>
                <w:sz w:val="32"/>
                <w:szCs w:val="32"/>
                <w:lang w:eastAsia="zh-CN"/>
              </w:rPr>
              <w:t>董月田杨计远</w:t>
            </w:r>
          </w:p>
          <w:p w:rsidR="006E03A8" w:rsidRDefault="002A1791" w:rsidP="00EA616C">
            <w:pPr>
              <w:pStyle w:val="a5"/>
              <w:spacing w:before="100" w:beforeAutospacing="1" w:afterLines="100" w:line="360" w:lineRule="auto"/>
              <w:ind w:right="737"/>
              <w:rPr>
                <w:b/>
                <w:bCs/>
                <w:color w:val="auto"/>
                <w:spacing w:val="-3"/>
                <w:sz w:val="32"/>
                <w:szCs w:val="32"/>
                <w:lang w:eastAsia="zh-CN"/>
              </w:rPr>
            </w:pPr>
            <w:r>
              <w:rPr>
                <w:rFonts w:hint="eastAsia"/>
                <w:color w:val="auto"/>
                <w:spacing w:val="-3"/>
                <w:sz w:val="32"/>
                <w:szCs w:val="32"/>
                <w:lang w:eastAsia="zh-CN"/>
              </w:rPr>
              <w:t>李长城王红英张凌云</w:t>
            </w:r>
          </w:p>
        </w:tc>
      </w:tr>
      <w:tr w:rsidR="006E03A8">
        <w:tc>
          <w:tcPr>
            <w:tcW w:w="1639" w:type="pct"/>
            <w:vAlign w:val="center"/>
          </w:tcPr>
          <w:p w:rsidR="006E03A8" w:rsidRDefault="002A1791" w:rsidP="00EA616C">
            <w:pPr>
              <w:pStyle w:val="a5"/>
              <w:spacing w:afterLines="100" w:line="360" w:lineRule="auto"/>
              <w:jc w:val="center"/>
              <w:rPr>
                <w:b/>
                <w:bCs/>
                <w:color w:val="auto"/>
                <w:spacing w:val="240"/>
                <w:sz w:val="32"/>
                <w:szCs w:val="32"/>
                <w:lang w:eastAsia="zh-CN"/>
              </w:rPr>
            </w:pPr>
            <w:r w:rsidRPr="00925AA8">
              <w:rPr>
                <w:b/>
                <w:bCs/>
                <w:color w:val="auto"/>
                <w:spacing w:val="30"/>
                <w:sz w:val="32"/>
                <w:szCs w:val="32"/>
                <w:fitText w:val="2568" w:id="1407338073"/>
                <w:lang w:eastAsia="zh-CN"/>
              </w:rPr>
              <w:t>评审会议地点</w:t>
            </w:r>
            <w:r w:rsidRPr="00925AA8">
              <w:rPr>
                <w:b/>
                <w:bCs/>
                <w:color w:val="auto"/>
                <w:spacing w:val="75"/>
                <w:sz w:val="32"/>
                <w:szCs w:val="32"/>
                <w:fitText w:val="2568" w:id="1407338073"/>
                <w:lang w:eastAsia="zh-CN"/>
              </w:rPr>
              <w:t>：</w:t>
            </w:r>
          </w:p>
        </w:tc>
        <w:tc>
          <w:tcPr>
            <w:tcW w:w="3361" w:type="pct"/>
          </w:tcPr>
          <w:p w:rsidR="006E03A8" w:rsidRDefault="002A1791" w:rsidP="00EA616C">
            <w:pPr>
              <w:pStyle w:val="a5"/>
              <w:spacing w:before="101" w:afterLines="100" w:line="360" w:lineRule="auto"/>
              <w:ind w:left="25"/>
              <w:rPr>
                <w:b/>
                <w:bCs/>
                <w:color w:val="auto"/>
                <w:spacing w:val="-3"/>
                <w:sz w:val="32"/>
                <w:szCs w:val="32"/>
                <w:lang w:eastAsia="zh-CN"/>
              </w:rPr>
            </w:pPr>
            <w:r>
              <w:rPr>
                <w:color w:val="auto"/>
                <w:spacing w:val="6"/>
                <w:sz w:val="32"/>
                <w:szCs w:val="32"/>
                <w:lang w:eastAsia="zh-CN"/>
              </w:rPr>
              <w:t>忻州市规划和自然资源局九楼会议室</w:t>
            </w:r>
          </w:p>
        </w:tc>
      </w:tr>
      <w:tr w:rsidR="006E03A8">
        <w:tc>
          <w:tcPr>
            <w:tcW w:w="1639" w:type="pct"/>
            <w:vAlign w:val="center"/>
          </w:tcPr>
          <w:p w:rsidR="006E03A8" w:rsidRDefault="002A1791" w:rsidP="00EA616C">
            <w:pPr>
              <w:pStyle w:val="a5"/>
              <w:spacing w:afterLines="100" w:line="360" w:lineRule="auto"/>
              <w:jc w:val="center"/>
              <w:rPr>
                <w:b/>
                <w:bCs/>
                <w:color w:val="auto"/>
                <w:spacing w:val="240"/>
                <w:sz w:val="32"/>
                <w:szCs w:val="32"/>
                <w:lang w:eastAsia="zh-CN"/>
              </w:rPr>
            </w:pPr>
            <w:r w:rsidRPr="00925AA8">
              <w:rPr>
                <w:b/>
                <w:bCs/>
                <w:color w:val="auto"/>
                <w:spacing w:val="30"/>
                <w:sz w:val="32"/>
                <w:szCs w:val="32"/>
                <w:fitText w:val="2568" w:id="1783316244"/>
                <w:lang w:eastAsia="zh-CN"/>
              </w:rPr>
              <w:t>评审会议日期</w:t>
            </w:r>
            <w:r w:rsidRPr="00925AA8">
              <w:rPr>
                <w:b/>
                <w:bCs/>
                <w:color w:val="auto"/>
                <w:spacing w:val="75"/>
                <w:sz w:val="32"/>
                <w:szCs w:val="32"/>
                <w:fitText w:val="2568" w:id="1783316244"/>
                <w:lang w:eastAsia="zh-CN"/>
              </w:rPr>
              <w:t>：</w:t>
            </w:r>
          </w:p>
        </w:tc>
        <w:tc>
          <w:tcPr>
            <w:tcW w:w="3361" w:type="pct"/>
          </w:tcPr>
          <w:p w:rsidR="006E03A8" w:rsidRDefault="002A1791" w:rsidP="00EA616C">
            <w:pPr>
              <w:pStyle w:val="a5"/>
              <w:spacing w:before="102" w:afterLines="100" w:line="360" w:lineRule="auto"/>
              <w:ind w:left="25"/>
              <w:rPr>
                <w:b/>
                <w:bCs/>
                <w:color w:val="auto"/>
                <w:spacing w:val="-3"/>
                <w:sz w:val="32"/>
                <w:szCs w:val="32"/>
                <w:lang w:eastAsia="zh-CN"/>
              </w:rPr>
            </w:pPr>
            <w:r>
              <w:rPr>
                <w:color w:val="auto"/>
                <w:spacing w:val="6"/>
                <w:sz w:val="32"/>
                <w:szCs w:val="32"/>
                <w:lang w:eastAsia="zh-CN"/>
              </w:rPr>
              <w:t>二〇二四年</w:t>
            </w:r>
            <w:r>
              <w:rPr>
                <w:rFonts w:hint="eastAsia"/>
                <w:color w:val="auto"/>
                <w:spacing w:val="6"/>
                <w:sz w:val="32"/>
                <w:szCs w:val="32"/>
                <w:lang w:eastAsia="zh-CN"/>
              </w:rPr>
              <w:t>九</w:t>
            </w:r>
            <w:r>
              <w:rPr>
                <w:color w:val="auto"/>
                <w:spacing w:val="6"/>
                <w:sz w:val="32"/>
                <w:szCs w:val="32"/>
                <w:lang w:eastAsia="zh-CN"/>
              </w:rPr>
              <w:t>月</w:t>
            </w:r>
            <w:r>
              <w:rPr>
                <w:rFonts w:hint="eastAsia"/>
                <w:color w:val="auto"/>
                <w:spacing w:val="6"/>
                <w:sz w:val="32"/>
                <w:szCs w:val="32"/>
                <w:lang w:eastAsia="zh-CN"/>
              </w:rPr>
              <w:t>一</w:t>
            </w:r>
            <w:r>
              <w:rPr>
                <w:color w:val="auto"/>
                <w:spacing w:val="6"/>
                <w:sz w:val="32"/>
                <w:szCs w:val="32"/>
                <w:lang w:eastAsia="zh-CN"/>
              </w:rPr>
              <w:t>日</w:t>
            </w:r>
          </w:p>
        </w:tc>
      </w:tr>
    </w:tbl>
    <w:p w:rsidR="006E03A8" w:rsidRDefault="006E03A8" w:rsidP="001D5D43">
      <w:pPr>
        <w:pStyle w:val="a5"/>
        <w:spacing w:before="113" w:line="282" w:lineRule="auto"/>
        <w:ind w:leftChars="353" w:left="787" w:right="575" w:hangingChars="13" w:hanging="46"/>
        <w:jc w:val="center"/>
        <w:rPr>
          <w:b/>
          <w:bCs/>
          <w:color w:val="auto"/>
          <w:spacing w:val="6"/>
          <w:sz w:val="35"/>
          <w:szCs w:val="35"/>
          <w:lang w:eastAsia="zh-CN"/>
        </w:rPr>
      </w:pPr>
    </w:p>
    <w:p w:rsidR="006E03A8" w:rsidRDefault="006E03A8" w:rsidP="001D5D43">
      <w:pPr>
        <w:pStyle w:val="a5"/>
        <w:spacing w:before="113" w:line="282" w:lineRule="auto"/>
        <w:ind w:leftChars="353" w:left="787" w:right="575" w:hangingChars="13" w:hanging="46"/>
        <w:jc w:val="center"/>
        <w:rPr>
          <w:b/>
          <w:bCs/>
          <w:color w:val="auto"/>
          <w:spacing w:val="6"/>
          <w:sz w:val="35"/>
          <w:szCs w:val="35"/>
          <w:lang w:eastAsia="zh-CN"/>
        </w:rPr>
      </w:pPr>
    </w:p>
    <w:p w:rsidR="006E03A8" w:rsidRDefault="006E03A8" w:rsidP="001D5D43">
      <w:pPr>
        <w:pStyle w:val="a5"/>
        <w:spacing w:before="113" w:line="282" w:lineRule="auto"/>
        <w:ind w:leftChars="353" w:left="787" w:right="575" w:hangingChars="13" w:hanging="46"/>
        <w:jc w:val="center"/>
        <w:rPr>
          <w:b/>
          <w:bCs/>
          <w:color w:val="auto"/>
          <w:spacing w:val="6"/>
          <w:sz w:val="35"/>
          <w:szCs w:val="35"/>
          <w:lang w:eastAsia="zh-CN"/>
        </w:rPr>
      </w:pPr>
    </w:p>
    <w:p w:rsidR="006E03A8" w:rsidRDefault="006E03A8" w:rsidP="001D5D43">
      <w:pPr>
        <w:pStyle w:val="a5"/>
        <w:spacing w:before="113" w:line="282" w:lineRule="auto"/>
        <w:ind w:leftChars="353" w:left="787" w:right="575" w:hangingChars="13" w:hanging="46"/>
        <w:jc w:val="center"/>
        <w:rPr>
          <w:b/>
          <w:bCs/>
          <w:color w:val="auto"/>
          <w:spacing w:val="6"/>
          <w:sz w:val="35"/>
          <w:szCs w:val="35"/>
          <w:lang w:eastAsia="zh-CN"/>
        </w:rPr>
      </w:pPr>
    </w:p>
    <w:p w:rsidR="006E03A8" w:rsidRDefault="006E03A8" w:rsidP="001D5D43">
      <w:pPr>
        <w:pStyle w:val="a5"/>
        <w:spacing w:before="113" w:line="282" w:lineRule="auto"/>
        <w:ind w:leftChars="353" w:left="787" w:right="575" w:hangingChars="13" w:hanging="46"/>
        <w:jc w:val="center"/>
        <w:rPr>
          <w:b/>
          <w:bCs/>
          <w:color w:val="auto"/>
          <w:spacing w:val="6"/>
          <w:sz w:val="35"/>
          <w:szCs w:val="35"/>
          <w:lang w:eastAsia="zh-CN"/>
        </w:rPr>
      </w:pPr>
    </w:p>
    <w:p w:rsidR="006E03A8" w:rsidRDefault="006E03A8" w:rsidP="001D5D43">
      <w:pPr>
        <w:pStyle w:val="a5"/>
        <w:spacing w:before="113" w:line="282" w:lineRule="auto"/>
        <w:ind w:leftChars="353" w:left="787" w:right="575" w:hangingChars="13" w:hanging="46"/>
        <w:jc w:val="center"/>
        <w:rPr>
          <w:b/>
          <w:bCs/>
          <w:color w:val="auto"/>
          <w:spacing w:val="6"/>
          <w:sz w:val="35"/>
          <w:szCs w:val="35"/>
          <w:lang w:eastAsia="zh-CN"/>
        </w:rPr>
        <w:sectPr w:rsidR="006E03A8">
          <w:footerReference w:type="default" r:id="rId10"/>
          <w:pgSz w:w="11906" w:h="16839"/>
          <w:pgMar w:top="1474" w:right="1474" w:bottom="1474" w:left="1474" w:header="0" w:footer="1219" w:gutter="0"/>
          <w:pgNumType w:start="0"/>
          <w:cols w:space="720"/>
        </w:sectPr>
      </w:pPr>
    </w:p>
    <w:p w:rsidR="006E03A8" w:rsidRDefault="002A1791">
      <w:pPr>
        <w:pStyle w:val="ac"/>
        <w:rPr>
          <w:rFonts w:ascii="宋体" w:hAnsi="宋体" w:cs="宋体"/>
          <w:color w:val="auto"/>
          <w:spacing w:val="6"/>
          <w:sz w:val="35"/>
          <w:szCs w:val="35"/>
          <w:lang w:eastAsia="zh-CN"/>
        </w:rPr>
      </w:pPr>
      <w:r>
        <w:rPr>
          <w:rFonts w:ascii="宋体" w:hAnsi="宋体" w:cs="宋体"/>
          <w:color w:val="auto"/>
          <w:spacing w:val="6"/>
          <w:sz w:val="35"/>
          <w:szCs w:val="35"/>
          <w:lang w:eastAsia="zh-CN"/>
        </w:rPr>
        <w:lastRenderedPageBreak/>
        <w:t>《</w:t>
      </w:r>
      <w:r>
        <w:rPr>
          <w:rFonts w:ascii="宋体" w:hAnsi="宋体" w:cs="宋体" w:hint="eastAsia"/>
          <w:color w:val="auto"/>
          <w:spacing w:val="6"/>
          <w:sz w:val="35"/>
          <w:szCs w:val="35"/>
          <w:lang w:eastAsia="zh-CN"/>
        </w:rPr>
        <w:t>山西省五台县五台云海镁业有限公司大朴村</w:t>
      </w:r>
    </w:p>
    <w:p w:rsidR="006E03A8" w:rsidRDefault="002A1791">
      <w:pPr>
        <w:pStyle w:val="ac"/>
        <w:rPr>
          <w:rFonts w:ascii="宋体" w:hAnsi="宋体" w:cs="宋体"/>
          <w:color w:val="auto"/>
          <w:spacing w:val="6"/>
          <w:sz w:val="35"/>
          <w:szCs w:val="35"/>
          <w:lang w:eastAsia="zh-CN"/>
        </w:rPr>
      </w:pPr>
      <w:r>
        <w:rPr>
          <w:rFonts w:ascii="宋体" w:hAnsi="宋体" w:cs="宋体" w:hint="eastAsia"/>
          <w:color w:val="auto"/>
          <w:spacing w:val="6"/>
          <w:sz w:val="35"/>
          <w:szCs w:val="35"/>
          <w:lang w:eastAsia="zh-CN"/>
        </w:rPr>
        <w:t>冶镁用白云岩矿矿产资源开发利用方案</w:t>
      </w:r>
      <w:r>
        <w:rPr>
          <w:rFonts w:ascii="宋体" w:hAnsi="宋体" w:cs="宋体"/>
          <w:color w:val="auto"/>
          <w:spacing w:val="6"/>
          <w:sz w:val="35"/>
          <w:szCs w:val="35"/>
          <w:lang w:eastAsia="zh-CN"/>
        </w:rPr>
        <w:t>》评审意见</w:t>
      </w:r>
    </w:p>
    <w:p w:rsidR="006E03A8" w:rsidRDefault="006E03A8">
      <w:pPr>
        <w:spacing w:line="338" w:lineRule="auto"/>
        <w:rPr>
          <w:color w:val="auto"/>
          <w:lang w:eastAsia="zh-CN"/>
        </w:rPr>
      </w:pPr>
    </w:p>
    <w:p w:rsidR="006E03A8" w:rsidRDefault="002A1791" w:rsidP="001D5D43">
      <w:pPr>
        <w:pStyle w:val="a5"/>
        <w:spacing w:line="360" w:lineRule="auto"/>
        <w:ind w:firstLineChars="200" w:firstLine="558"/>
        <w:jc w:val="both"/>
        <w:rPr>
          <w:color w:val="auto"/>
          <w:spacing w:val="-1"/>
          <w:sz w:val="28"/>
          <w:szCs w:val="28"/>
          <w:lang w:eastAsia="zh-CN"/>
        </w:rPr>
      </w:pPr>
      <w:r>
        <w:rPr>
          <w:rFonts w:hint="eastAsia"/>
          <w:color w:val="auto"/>
          <w:spacing w:val="-1"/>
          <w:sz w:val="28"/>
          <w:szCs w:val="28"/>
          <w:lang w:eastAsia="zh-CN"/>
        </w:rPr>
        <w:t>根据国土资源部《关于加强矿产资源开发利用方案审查的通知》(国土资发〔1999〕98号)、山西省自然资源厅《关于进一步规范矿产资源开发利用和环境保护与土地复垦方案编制及审查工作的通知》(晋自然资发〔2021</w:t>
      </w:r>
      <w:r>
        <w:rPr>
          <w:rFonts w:hint="eastAsia"/>
          <w:color w:val="auto"/>
          <w:lang w:eastAsia="zh-CN"/>
        </w:rPr>
        <w:t>〕</w:t>
      </w:r>
      <w:r>
        <w:rPr>
          <w:rFonts w:hint="eastAsia"/>
          <w:color w:val="auto"/>
          <w:spacing w:val="-1"/>
          <w:sz w:val="28"/>
          <w:szCs w:val="28"/>
          <w:lang w:eastAsia="zh-CN"/>
        </w:rPr>
        <w:t>1号)文件和工作需要，忻州市规划和自然资源局从专家库中抽取了7名高级工程师组成的专家组，于2024年9月1日按照忻州市规划和自然资源局《关于进一步规范市级发证矿山企业矿产资源储量核实报告、矿产资源开发利用和矿山环境保护与土地复垦方案编制评审备案办法的通知》(忻自然资发〔2021〕105号)要求，对山西省第九地质工程勘察院有限公司编制提交的《山西省五台县五台云海镁业有限公司大朴村冶镁用白云岩矿矿产资源开发利用方案》(以下简称《方案》)，在忻州市规划和自然资源局九楼会议室进行了集体会议审查。会议听取了五台云海镁业有限公司对矿区现状的说明，编制单位介绍了《方案》编制情况及主要内容，与会人员进行了提问和质询，各位专家提出了修改意见及应补充的技术资料。编制单位对《方案》进行了修改补充完善，于2024年9月30日经专家组复核通过，形成如下评审意见。</w:t>
      </w:r>
    </w:p>
    <w:p w:rsidR="006E03A8" w:rsidRDefault="002A1791">
      <w:pPr>
        <w:pStyle w:val="a5"/>
        <w:spacing w:line="360" w:lineRule="auto"/>
        <w:outlineLvl w:val="0"/>
        <w:rPr>
          <w:color w:val="auto"/>
          <w:sz w:val="28"/>
          <w:szCs w:val="28"/>
          <w:lang w:eastAsia="zh-CN"/>
        </w:rPr>
      </w:pPr>
      <w:r>
        <w:rPr>
          <w:b/>
          <w:bCs/>
          <w:color w:val="auto"/>
          <w:spacing w:val="-5"/>
          <w:sz w:val="28"/>
          <w:szCs w:val="28"/>
          <w:lang w:eastAsia="zh-CN"/>
        </w:rPr>
        <w:t>一、矿区概况</w:t>
      </w:r>
    </w:p>
    <w:p w:rsidR="006E03A8" w:rsidRDefault="002A1791" w:rsidP="001D5D43">
      <w:pPr>
        <w:pStyle w:val="a5"/>
        <w:spacing w:line="360" w:lineRule="auto"/>
        <w:ind w:firstLineChars="200" w:firstLine="558"/>
        <w:jc w:val="both"/>
        <w:rPr>
          <w:color w:val="auto"/>
          <w:spacing w:val="-1"/>
          <w:sz w:val="28"/>
          <w:szCs w:val="28"/>
          <w:lang w:eastAsia="zh-CN"/>
        </w:rPr>
      </w:pPr>
      <w:r>
        <w:rPr>
          <w:rFonts w:hint="eastAsia"/>
          <w:color w:val="auto"/>
          <w:spacing w:val="-1"/>
          <w:sz w:val="28"/>
          <w:szCs w:val="28"/>
          <w:lang w:eastAsia="zh-CN"/>
        </w:rPr>
        <w:t>山西省五台县五台云海镁业有限公司大朴村冶镁用白云岩矿位于五台县城200°方位，直距约9km的大朴村北一带，行政区划隶属于五台县东冶镇管辖。地理坐标（CGCS2000坐标系）东经***°**′**.**″-***°**′**.**″，北纬**°**′**.**″-**°**′**.**″，矿区中心点坐标：东经***°**′**.**″、北纬**°**′**.**″。</w:t>
      </w:r>
    </w:p>
    <w:p w:rsidR="006E03A8" w:rsidRDefault="002A1791" w:rsidP="001D5D43">
      <w:pPr>
        <w:pStyle w:val="a5"/>
        <w:spacing w:line="360" w:lineRule="auto"/>
        <w:ind w:firstLineChars="200" w:firstLine="558"/>
        <w:jc w:val="both"/>
        <w:rPr>
          <w:color w:val="auto"/>
          <w:spacing w:val="-1"/>
          <w:sz w:val="28"/>
          <w:szCs w:val="28"/>
          <w:lang w:eastAsia="zh-CN"/>
        </w:rPr>
      </w:pPr>
      <w:r>
        <w:rPr>
          <w:rFonts w:hint="eastAsia"/>
          <w:color w:val="auto"/>
          <w:spacing w:val="-1"/>
          <w:sz w:val="28"/>
          <w:szCs w:val="28"/>
          <w:lang w:eastAsia="zh-CN"/>
        </w:rPr>
        <w:t>山西省五台县五台云海镁业有限公司大朴村冶镁用白云岩矿为五台县人民政府确定的多个矿山整合矿区，由原五台县东冶镇大朴白云岩经销部、</w:t>
      </w:r>
      <w:r>
        <w:rPr>
          <w:rFonts w:hint="eastAsia"/>
          <w:color w:val="auto"/>
          <w:spacing w:val="-1"/>
          <w:sz w:val="28"/>
          <w:szCs w:val="28"/>
          <w:lang w:eastAsia="zh-CN"/>
        </w:rPr>
        <w:lastRenderedPageBreak/>
        <w:t>五台县金鹰建材有限公司、五台县盟盛白云石矿业有限公司、忻州市东平工贸有限公司及五台县兴杨矿业有限公司5个采矿权及空白资源整合而成。五台云海镁业有限公司于2023年11月3日以公开出让方式取得了该采矿权（忻矿出示字〔2023〕3号）。矿山地址：五台县东冶镇大朴村；出让矿种：白云岩；出让面积：2.79km</w:t>
      </w:r>
      <w:r>
        <w:rPr>
          <w:rFonts w:hint="eastAsia"/>
          <w:color w:val="auto"/>
          <w:spacing w:val="-1"/>
          <w:sz w:val="28"/>
          <w:szCs w:val="28"/>
          <w:vertAlign w:val="superscript"/>
          <w:lang w:eastAsia="zh-CN"/>
        </w:rPr>
        <w:t>2</w:t>
      </w:r>
      <w:r>
        <w:rPr>
          <w:rFonts w:hint="eastAsia"/>
          <w:color w:val="auto"/>
          <w:spacing w:val="-1"/>
          <w:sz w:val="28"/>
          <w:szCs w:val="28"/>
          <w:lang w:eastAsia="zh-CN"/>
        </w:rPr>
        <w:t>；拟出让年限为30年；出让资源储量冶镁用白云岩34517万吨、耐火用白云岩12245万吨、建筑用白云岩11133万吨，赋存标高1290m—832m。矿区范围由25个拐点圈定，拐点坐标见下表。</w:t>
      </w:r>
    </w:p>
    <w:p w:rsidR="006E03A8" w:rsidRDefault="002A1791">
      <w:pPr>
        <w:pStyle w:val="ab"/>
        <w:jc w:val="center"/>
        <w:rPr>
          <w:rFonts w:cs="宋体"/>
          <w:szCs w:val="24"/>
          <w:lang w:bidi="en-US"/>
        </w:rPr>
      </w:pPr>
      <w:r>
        <w:rPr>
          <w:rFonts w:cs="宋体" w:hint="eastAsia"/>
          <w:szCs w:val="24"/>
          <w:lang w:bidi="en-US"/>
        </w:rPr>
        <w:t>矿区范围拐点坐标</w:t>
      </w:r>
    </w:p>
    <w:tbl>
      <w:tblPr>
        <w:tblW w:w="5065" w:type="pct"/>
        <w:jc w:val="center"/>
        <w:tblLayout w:type="fixed"/>
        <w:tblCellMar>
          <w:left w:w="0" w:type="dxa"/>
          <w:right w:w="0" w:type="dxa"/>
        </w:tblCellMar>
        <w:tblLook w:val="04A0"/>
      </w:tblPr>
      <w:tblGrid>
        <w:gridCol w:w="358"/>
        <w:gridCol w:w="1308"/>
        <w:gridCol w:w="1388"/>
        <w:gridCol w:w="1461"/>
        <w:gridCol w:w="1336"/>
        <w:gridCol w:w="1645"/>
        <w:gridCol w:w="1603"/>
      </w:tblGrid>
      <w:tr w:rsidR="006E03A8">
        <w:trPr>
          <w:trHeight w:val="23"/>
          <w:tblHeader/>
          <w:jc w:val="center"/>
        </w:trPr>
        <w:tc>
          <w:tcPr>
            <w:tcW w:w="196" w:type="pct"/>
            <w:vMerge w:val="restart"/>
            <w:tcBorders>
              <w:top w:val="single" w:sz="4" w:space="0" w:color="auto"/>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rPr>
                <w:lang w:eastAsia="en-US" w:bidi="en-US"/>
              </w:rPr>
            </w:pPr>
            <w:r>
              <w:rPr>
                <w:rFonts w:hint="eastAsia"/>
              </w:rPr>
              <w:t>点号</w:t>
            </w:r>
          </w:p>
        </w:tc>
        <w:tc>
          <w:tcPr>
            <w:tcW w:w="1480" w:type="pct"/>
            <w:gridSpan w:val="2"/>
            <w:tcBorders>
              <w:top w:val="single" w:sz="4" w:space="0" w:color="auto"/>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6E03A8" w:rsidRDefault="002A1791">
            <w:pPr>
              <w:pStyle w:val="aa"/>
              <w:rPr>
                <w:lang w:eastAsia="en-US" w:bidi="en-US"/>
              </w:rPr>
            </w:pPr>
            <w:r>
              <w:rPr>
                <w:rFonts w:hint="eastAsia"/>
              </w:rPr>
              <w:t>CGCS2000</w:t>
            </w:r>
            <w:r>
              <w:rPr>
                <w:rFonts w:hint="eastAsia"/>
              </w:rPr>
              <w:t>坐标系</w:t>
            </w:r>
            <w:r>
              <w:rPr>
                <w:rFonts w:hint="eastAsia"/>
              </w:rPr>
              <w:t>3</w:t>
            </w:r>
            <w:r>
              <w:rPr>
                <w:rFonts w:hint="eastAsia"/>
              </w:rPr>
              <w:t>度带</w:t>
            </w:r>
          </w:p>
        </w:tc>
        <w:tc>
          <w:tcPr>
            <w:tcW w:w="1537"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6E03A8" w:rsidRDefault="002A1791">
            <w:pPr>
              <w:pStyle w:val="aa"/>
              <w:rPr>
                <w:lang w:bidi="en-US"/>
              </w:rPr>
            </w:pPr>
            <w:r>
              <w:rPr>
                <w:rFonts w:hint="eastAsia"/>
              </w:rPr>
              <w:t>CGCS2000</w:t>
            </w:r>
            <w:r>
              <w:rPr>
                <w:rFonts w:hint="eastAsia"/>
              </w:rPr>
              <w:t>坐标系</w:t>
            </w:r>
            <w:r>
              <w:rPr>
                <w:rFonts w:hint="eastAsia"/>
              </w:rPr>
              <w:t>6</w:t>
            </w:r>
            <w:r>
              <w:rPr>
                <w:rFonts w:hint="eastAsia"/>
              </w:rPr>
              <w:t>度带</w:t>
            </w:r>
          </w:p>
        </w:tc>
        <w:tc>
          <w:tcPr>
            <w:tcW w:w="1785" w:type="pct"/>
            <w:gridSpan w:val="2"/>
            <w:tcBorders>
              <w:top w:val="single" w:sz="4" w:space="0" w:color="000000"/>
              <w:left w:val="single" w:sz="4" w:space="0" w:color="000000"/>
              <w:bottom w:val="single" w:sz="4" w:space="0" w:color="auto"/>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CGCS2000</w:t>
            </w:r>
            <w:r>
              <w:rPr>
                <w:rFonts w:hint="eastAsia"/>
              </w:rPr>
              <w:t>坐标系</w:t>
            </w:r>
          </w:p>
        </w:tc>
      </w:tr>
      <w:tr w:rsidR="006E03A8">
        <w:trPr>
          <w:trHeight w:val="23"/>
          <w:tblHeader/>
          <w:jc w:val="center"/>
        </w:trPr>
        <w:tc>
          <w:tcPr>
            <w:tcW w:w="196" w:type="pct"/>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6E03A8">
            <w:pPr>
              <w:pStyle w:val="aa"/>
              <w:rPr>
                <w:lang w:eastAsia="en-US" w:bidi="en-US"/>
              </w:rPr>
            </w:pPr>
          </w:p>
        </w:tc>
        <w:tc>
          <w:tcPr>
            <w:tcW w:w="718" w:type="pct"/>
            <w:tcBorders>
              <w:top w:val="single" w:sz="4" w:space="0" w:color="auto"/>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rPr>
                <w:lang w:eastAsia="en-US"/>
              </w:rPr>
            </w:pPr>
            <w:r>
              <w:rPr>
                <w:rFonts w:hint="eastAsia"/>
              </w:rPr>
              <w:t>X</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rPr>
                <w:lang w:eastAsia="en-US"/>
              </w:rPr>
            </w:pPr>
            <w:r>
              <w:rPr>
                <w:rFonts w:hint="eastAsia"/>
              </w:rPr>
              <w:t>Y</w:t>
            </w:r>
          </w:p>
        </w:tc>
        <w:tc>
          <w:tcPr>
            <w:tcW w:w="80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rPr>
                <w:lang w:eastAsia="en-US"/>
              </w:rPr>
            </w:pPr>
            <w:r>
              <w:rPr>
                <w:rFonts w:hint="eastAsia"/>
              </w:rPr>
              <w:t>X</w:t>
            </w:r>
          </w:p>
        </w:tc>
        <w:tc>
          <w:tcPr>
            <w:tcW w:w="734" w:type="pct"/>
            <w:tcBorders>
              <w:top w:val="single" w:sz="4" w:space="0" w:color="auto"/>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rPr>
                <w:lang w:eastAsia="en-US"/>
              </w:rPr>
            </w:pPr>
            <w:r>
              <w:rPr>
                <w:rFonts w:hint="eastAsia"/>
              </w:rPr>
              <w:t>Y</w:t>
            </w:r>
          </w:p>
        </w:tc>
        <w:tc>
          <w:tcPr>
            <w:tcW w:w="904" w:type="pct"/>
            <w:tcBorders>
              <w:top w:val="single" w:sz="4" w:space="0" w:color="auto"/>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rPr>
                <w:lang w:eastAsia="en-US"/>
              </w:rPr>
            </w:pPr>
            <w:r>
              <w:rPr>
                <w:rFonts w:hint="eastAsia"/>
              </w:rPr>
              <w:t>经度</w:t>
            </w:r>
            <w:r>
              <w:rPr>
                <w:rFonts w:hint="eastAsia"/>
              </w:rPr>
              <w:t>B(dms)</w:t>
            </w:r>
          </w:p>
        </w:tc>
        <w:tc>
          <w:tcPr>
            <w:tcW w:w="880" w:type="pct"/>
            <w:tcBorders>
              <w:top w:val="single" w:sz="4" w:space="0" w:color="auto"/>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rPr>
                <w:lang w:eastAsia="en-US"/>
              </w:rPr>
            </w:pPr>
            <w:r>
              <w:rPr>
                <w:rFonts w:hint="eastAsia"/>
              </w:rPr>
              <w:t>纬度</w:t>
            </w:r>
            <w:r>
              <w:rPr>
                <w:rFonts w:hint="eastAsia"/>
              </w:rPr>
              <w:t>L(dms)</w:t>
            </w:r>
          </w:p>
        </w:tc>
      </w:tr>
      <w:tr w:rsidR="006E03A8">
        <w:trPr>
          <w:trHeight w:val="23"/>
          <w:jc w:val="center"/>
        </w:trPr>
        <w:tc>
          <w:tcPr>
            <w:tcW w:w="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1</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80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90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c>
          <w:tcPr>
            <w:tcW w:w="88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r>
      <w:tr w:rsidR="006E03A8">
        <w:trPr>
          <w:trHeight w:val="307"/>
          <w:jc w:val="center"/>
        </w:trPr>
        <w:tc>
          <w:tcPr>
            <w:tcW w:w="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2</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80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90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c>
          <w:tcPr>
            <w:tcW w:w="88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r>
      <w:tr w:rsidR="006E03A8">
        <w:trPr>
          <w:trHeight w:val="23"/>
          <w:jc w:val="center"/>
        </w:trPr>
        <w:tc>
          <w:tcPr>
            <w:tcW w:w="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3</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80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90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c>
          <w:tcPr>
            <w:tcW w:w="88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r>
      <w:tr w:rsidR="006E03A8">
        <w:trPr>
          <w:trHeight w:val="23"/>
          <w:jc w:val="center"/>
        </w:trPr>
        <w:tc>
          <w:tcPr>
            <w:tcW w:w="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4</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80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90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c>
          <w:tcPr>
            <w:tcW w:w="88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r>
      <w:tr w:rsidR="006E03A8">
        <w:trPr>
          <w:trHeight w:val="23"/>
          <w:jc w:val="center"/>
        </w:trPr>
        <w:tc>
          <w:tcPr>
            <w:tcW w:w="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5</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80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90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c>
          <w:tcPr>
            <w:tcW w:w="88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r>
      <w:tr w:rsidR="006E03A8">
        <w:trPr>
          <w:trHeight w:val="23"/>
          <w:jc w:val="center"/>
        </w:trPr>
        <w:tc>
          <w:tcPr>
            <w:tcW w:w="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6</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80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90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c>
          <w:tcPr>
            <w:tcW w:w="88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r>
      <w:tr w:rsidR="006E03A8">
        <w:trPr>
          <w:trHeight w:val="23"/>
          <w:jc w:val="center"/>
        </w:trPr>
        <w:tc>
          <w:tcPr>
            <w:tcW w:w="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7</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80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90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c>
          <w:tcPr>
            <w:tcW w:w="88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r>
      <w:tr w:rsidR="006E03A8">
        <w:trPr>
          <w:trHeight w:val="23"/>
          <w:jc w:val="center"/>
        </w:trPr>
        <w:tc>
          <w:tcPr>
            <w:tcW w:w="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8</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80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90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c>
          <w:tcPr>
            <w:tcW w:w="88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r>
      <w:tr w:rsidR="006E03A8">
        <w:trPr>
          <w:trHeight w:val="23"/>
          <w:jc w:val="center"/>
        </w:trPr>
        <w:tc>
          <w:tcPr>
            <w:tcW w:w="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9</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80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90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c>
          <w:tcPr>
            <w:tcW w:w="88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r>
      <w:tr w:rsidR="006E03A8">
        <w:trPr>
          <w:trHeight w:val="23"/>
          <w:jc w:val="center"/>
        </w:trPr>
        <w:tc>
          <w:tcPr>
            <w:tcW w:w="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10</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80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90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c>
          <w:tcPr>
            <w:tcW w:w="88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r>
      <w:tr w:rsidR="006E03A8">
        <w:trPr>
          <w:trHeight w:val="378"/>
          <w:jc w:val="center"/>
        </w:trPr>
        <w:tc>
          <w:tcPr>
            <w:tcW w:w="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11</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80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90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c>
          <w:tcPr>
            <w:tcW w:w="88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r>
      <w:tr w:rsidR="006E03A8">
        <w:trPr>
          <w:trHeight w:val="23"/>
          <w:jc w:val="center"/>
        </w:trPr>
        <w:tc>
          <w:tcPr>
            <w:tcW w:w="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12</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80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90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c>
          <w:tcPr>
            <w:tcW w:w="88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r>
      <w:tr w:rsidR="006E03A8">
        <w:trPr>
          <w:trHeight w:val="23"/>
          <w:jc w:val="center"/>
        </w:trPr>
        <w:tc>
          <w:tcPr>
            <w:tcW w:w="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13</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80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90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c>
          <w:tcPr>
            <w:tcW w:w="88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r>
      <w:tr w:rsidR="006E03A8">
        <w:trPr>
          <w:trHeight w:val="23"/>
          <w:jc w:val="center"/>
        </w:trPr>
        <w:tc>
          <w:tcPr>
            <w:tcW w:w="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14</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80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90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c>
          <w:tcPr>
            <w:tcW w:w="88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r>
      <w:tr w:rsidR="006E03A8">
        <w:trPr>
          <w:trHeight w:val="23"/>
          <w:jc w:val="center"/>
        </w:trPr>
        <w:tc>
          <w:tcPr>
            <w:tcW w:w="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15</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80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90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c>
          <w:tcPr>
            <w:tcW w:w="88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r>
      <w:tr w:rsidR="006E03A8">
        <w:trPr>
          <w:trHeight w:val="378"/>
          <w:jc w:val="center"/>
        </w:trPr>
        <w:tc>
          <w:tcPr>
            <w:tcW w:w="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16</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80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90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c>
          <w:tcPr>
            <w:tcW w:w="88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r>
      <w:tr w:rsidR="006E03A8">
        <w:trPr>
          <w:trHeight w:val="23"/>
          <w:jc w:val="center"/>
        </w:trPr>
        <w:tc>
          <w:tcPr>
            <w:tcW w:w="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17</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80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90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c>
          <w:tcPr>
            <w:tcW w:w="88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r>
      <w:tr w:rsidR="006E03A8">
        <w:trPr>
          <w:trHeight w:val="23"/>
          <w:jc w:val="center"/>
        </w:trPr>
        <w:tc>
          <w:tcPr>
            <w:tcW w:w="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18</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80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90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c>
          <w:tcPr>
            <w:tcW w:w="88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r>
      <w:tr w:rsidR="006E03A8">
        <w:trPr>
          <w:trHeight w:val="23"/>
          <w:jc w:val="center"/>
        </w:trPr>
        <w:tc>
          <w:tcPr>
            <w:tcW w:w="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19</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80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90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c>
          <w:tcPr>
            <w:tcW w:w="88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r>
      <w:tr w:rsidR="006E03A8">
        <w:trPr>
          <w:trHeight w:val="23"/>
          <w:jc w:val="center"/>
        </w:trPr>
        <w:tc>
          <w:tcPr>
            <w:tcW w:w="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20</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80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90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c>
          <w:tcPr>
            <w:tcW w:w="88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r>
      <w:tr w:rsidR="006E03A8">
        <w:trPr>
          <w:trHeight w:val="23"/>
          <w:jc w:val="center"/>
        </w:trPr>
        <w:tc>
          <w:tcPr>
            <w:tcW w:w="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21</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80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90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c>
          <w:tcPr>
            <w:tcW w:w="88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r>
      <w:tr w:rsidR="006E03A8">
        <w:trPr>
          <w:trHeight w:val="23"/>
          <w:jc w:val="center"/>
        </w:trPr>
        <w:tc>
          <w:tcPr>
            <w:tcW w:w="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22</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80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90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c>
          <w:tcPr>
            <w:tcW w:w="88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r>
      <w:tr w:rsidR="006E03A8">
        <w:trPr>
          <w:trHeight w:val="23"/>
          <w:jc w:val="center"/>
        </w:trPr>
        <w:tc>
          <w:tcPr>
            <w:tcW w:w="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23</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80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90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c>
          <w:tcPr>
            <w:tcW w:w="88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r>
      <w:tr w:rsidR="006E03A8">
        <w:trPr>
          <w:trHeight w:val="23"/>
          <w:jc w:val="center"/>
        </w:trPr>
        <w:tc>
          <w:tcPr>
            <w:tcW w:w="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24</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80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90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c>
          <w:tcPr>
            <w:tcW w:w="88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r>
      <w:tr w:rsidR="006E03A8">
        <w:trPr>
          <w:trHeight w:val="23"/>
          <w:jc w:val="center"/>
        </w:trPr>
        <w:tc>
          <w:tcPr>
            <w:tcW w:w="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25</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tcPr>
          <w:p w:rsidR="006E03A8" w:rsidRDefault="002A1791">
            <w:pPr>
              <w:pStyle w:val="aa"/>
            </w:pPr>
            <w:r>
              <w:rPr>
                <w:rFonts w:hint="eastAsia"/>
              </w:rPr>
              <w:t>*******.***</w:t>
            </w:r>
          </w:p>
        </w:tc>
        <w:tc>
          <w:tcPr>
            <w:tcW w:w="80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73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p>
        </w:tc>
        <w:tc>
          <w:tcPr>
            <w:tcW w:w="904"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c>
          <w:tcPr>
            <w:tcW w:w="88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6E03A8" w:rsidRDefault="002A1791">
            <w:pPr>
              <w:pStyle w:val="aa"/>
            </w:pPr>
            <w:r>
              <w:rPr>
                <w:rFonts w:hint="eastAsia"/>
              </w:rPr>
              <w:t>***</w:t>
            </w:r>
            <w:r>
              <w:rPr>
                <w:rFonts w:hint="eastAsia"/>
              </w:rPr>
              <w:t>°</w:t>
            </w:r>
            <w:r>
              <w:rPr>
                <w:rFonts w:hint="eastAsia"/>
              </w:rPr>
              <w:t>**</w:t>
            </w:r>
            <w:r>
              <w:rPr>
                <w:rFonts w:hint="eastAsia"/>
              </w:rPr>
              <w:t>′</w:t>
            </w:r>
            <w:r>
              <w:rPr>
                <w:rFonts w:hint="eastAsia"/>
              </w:rPr>
              <w:t>**.**</w:t>
            </w:r>
            <w:r>
              <w:rPr>
                <w:rFonts w:hint="eastAsia"/>
              </w:rPr>
              <w:t>″</w:t>
            </w:r>
          </w:p>
        </w:tc>
      </w:tr>
    </w:tbl>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
          <w:sz w:val="28"/>
          <w:szCs w:val="28"/>
          <w:lang w:eastAsia="zh-CN"/>
        </w:rPr>
        <w:t>山西省五台县</w:t>
      </w:r>
      <w:r>
        <w:rPr>
          <w:rFonts w:hint="eastAsia"/>
          <w:color w:val="auto"/>
          <w:spacing w:val="12"/>
          <w:sz w:val="28"/>
          <w:szCs w:val="28"/>
          <w:lang w:eastAsia="zh-CN"/>
        </w:rPr>
        <w:t>五台云海镁业有限公司</w:t>
      </w:r>
      <w:r>
        <w:rPr>
          <w:rFonts w:hint="eastAsia"/>
          <w:color w:val="auto"/>
          <w:spacing w:val="-1"/>
          <w:sz w:val="28"/>
          <w:szCs w:val="28"/>
          <w:lang w:eastAsia="zh-CN"/>
        </w:rPr>
        <w:t>大朴村冶镁用</w:t>
      </w:r>
      <w:r>
        <w:rPr>
          <w:rFonts w:hint="eastAsia"/>
          <w:color w:val="auto"/>
          <w:spacing w:val="12"/>
          <w:sz w:val="28"/>
          <w:szCs w:val="28"/>
          <w:lang w:eastAsia="zh-CN"/>
        </w:rPr>
        <w:t>白云岩矿现处于基建停产状态，整合后矿山除北西部与五台县地质矿产开发公司五级白云岩矿相邻外，区内及周边无其他矿权设置。</w:t>
      </w:r>
    </w:p>
    <w:p w:rsidR="006E03A8" w:rsidRDefault="002A1791">
      <w:pPr>
        <w:pStyle w:val="a5"/>
        <w:spacing w:line="360" w:lineRule="auto"/>
        <w:outlineLvl w:val="0"/>
        <w:rPr>
          <w:b/>
          <w:bCs/>
          <w:color w:val="auto"/>
          <w:spacing w:val="-5"/>
          <w:sz w:val="28"/>
          <w:szCs w:val="28"/>
          <w:lang w:eastAsia="zh-CN"/>
        </w:rPr>
      </w:pPr>
      <w:r>
        <w:rPr>
          <w:b/>
          <w:bCs/>
          <w:color w:val="auto"/>
          <w:spacing w:val="-5"/>
          <w:sz w:val="28"/>
          <w:szCs w:val="28"/>
          <w:lang w:eastAsia="zh-CN"/>
        </w:rPr>
        <w:t>二、开发利用方案简介</w:t>
      </w:r>
    </w:p>
    <w:p w:rsidR="006E03A8" w:rsidRDefault="002A1791">
      <w:pPr>
        <w:pStyle w:val="a5"/>
        <w:spacing w:before="166" w:line="220" w:lineRule="auto"/>
        <w:ind w:left="607"/>
        <w:rPr>
          <w:color w:val="auto"/>
          <w:sz w:val="28"/>
          <w:szCs w:val="28"/>
          <w:lang w:eastAsia="zh-CN"/>
        </w:rPr>
      </w:pPr>
      <w:r>
        <w:rPr>
          <w:b/>
          <w:bCs/>
          <w:color w:val="auto"/>
          <w:spacing w:val="-5"/>
          <w:sz w:val="28"/>
          <w:szCs w:val="28"/>
          <w:lang w:eastAsia="zh-CN"/>
        </w:rPr>
        <w:lastRenderedPageBreak/>
        <w:t>1、矿产资源及其利用情况</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t>根据2023年7月山西省第三地质工程勘察院有限公司提交的《山西省五台县大朴村冶镁用白云岩矿勘探地质报告》,截至2023年7月31日，矿区查明冶镁用白云岩矿资源量34517万t，其中探明资源量4530万t，控制资源量19849万t，推断资源量10138万t，其中可采资源量32913万t（探明资源量4530万t，控制资源量19171万t，推断资源量9212万t），边坡占用资源量1604万t（控制资源量678万t，推断资源量926万t）。资源储量估算标高为1290-832m。报告于2023年9月1日由山西省矿业联合会技术服务中心评审专家组以晋矿联储审字[2023]92号文评审通过，报告基本满足本方案的编制要求。</w:t>
      </w:r>
    </w:p>
    <w:p w:rsidR="006E03A8" w:rsidRDefault="002A1791">
      <w:pPr>
        <w:pStyle w:val="a5"/>
        <w:spacing w:before="168" w:line="219" w:lineRule="auto"/>
        <w:ind w:left="590"/>
        <w:rPr>
          <w:color w:val="auto"/>
          <w:sz w:val="28"/>
          <w:szCs w:val="28"/>
          <w:lang w:eastAsia="zh-CN"/>
        </w:rPr>
      </w:pPr>
      <w:r>
        <w:rPr>
          <w:b/>
          <w:bCs/>
          <w:color w:val="auto"/>
          <w:spacing w:val="-3"/>
          <w:sz w:val="28"/>
          <w:szCs w:val="28"/>
          <w:lang w:eastAsia="zh-CN"/>
        </w:rPr>
        <w:t>2、开采方式、生产规模及服务年限</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t>《方案》确定开采方式为山坡露天开采，自上而下的水平分台阶开采。设计矿区边界留设保安矿柱宽度为2m，设计利用资源储量47540.7万吨，其中冶镁用白云岩矿资源量29311.5万吨，耐火用白云岩矿8863万吨，建筑石料用白云岩矿9366.2万吨。设计可采储量为45163.67万吨，其中冶镁用白云岩矿资源量27845.93万吨，耐火用白云岩矿8419.85万吨，建筑石料用白云岩矿8897.89万吨。方案确定露天开采生产规模为1000万吨/年，平均剥采比0.11m</w:t>
      </w:r>
      <w:r>
        <w:rPr>
          <w:rFonts w:hint="eastAsia"/>
          <w:color w:val="auto"/>
          <w:spacing w:val="12"/>
          <w:sz w:val="28"/>
          <w:szCs w:val="28"/>
          <w:vertAlign w:val="superscript"/>
          <w:lang w:eastAsia="zh-CN"/>
        </w:rPr>
        <w:t>3</w:t>
      </w:r>
      <w:r>
        <w:rPr>
          <w:rFonts w:hint="eastAsia"/>
          <w:color w:val="auto"/>
          <w:spacing w:val="12"/>
          <w:sz w:val="28"/>
          <w:szCs w:val="28"/>
          <w:lang w:eastAsia="zh-CN"/>
        </w:rPr>
        <w:t>/m</w:t>
      </w:r>
      <w:r>
        <w:rPr>
          <w:rFonts w:hint="eastAsia"/>
          <w:color w:val="auto"/>
          <w:spacing w:val="12"/>
          <w:sz w:val="28"/>
          <w:szCs w:val="28"/>
          <w:vertAlign w:val="superscript"/>
          <w:lang w:eastAsia="zh-CN"/>
        </w:rPr>
        <w:t>3</w:t>
      </w:r>
      <w:r>
        <w:rPr>
          <w:rFonts w:hint="eastAsia"/>
          <w:color w:val="auto"/>
          <w:spacing w:val="12"/>
          <w:sz w:val="28"/>
          <w:szCs w:val="28"/>
          <w:lang w:eastAsia="zh-CN"/>
        </w:rPr>
        <w:t>；设计开采回采率95%，矿山服务年限47.16年（含基建期2年）。</w:t>
      </w:r>
    </w:p>
    <w:p w:rsidR="006E03A8" w:rsidRDefault="002A1791">
      <w:pPr>
        <w:pStyle w:val="a5"/>
        <w:spacing w:before="40" w:line="220" w:lineRule="auto"/>
        <w:ind w:left="592"/>
        <w:rPr>
          <w:color w:val="auto"/>
          <w:sz w:val="28"/>
          <w:szCs w:val="28"/>
          <w:lang w:eastAsia="zh-CN"/>
        </w:rPr>
      </w:pPr>
      <w:r>
        <w:rPr>
          <w:b/>
          <w:bCs/>
          <w:color w:val="auto"/>
          <w:spacing w:val="-5"/>
          <w:sz w:val="28"/>
          <w:szCs w:val="28"/>
          <w:lang w:eastAsia="zh-CN"/>
        </w:rPr>
        <w:t>3、产品方案</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t>《方案》推荐的矿产品方案为：销售冶镁白云岩原矿石，销售60-45mm、45-30mm、30-15mm、15mm以下不同颗粒级的耐火材料用白云岩、建筑石料用白云岩石子。</w:t>
      </w:r>
    </w:p>
    <w:p w:rsidR="006E03A8" w:rsidRDefault="002A1791">
      <w:pPr>
        <w:pStyle w:val="a5"/>
        <w:spacing w:before="91" w:line="219" w:lineRule="auto"/>
        <w:ind w:left="583"/>
        <w:rPr>
          <w:color w:val="auto"/>
          <w:sz w:val="28"/>
          <w:szCs w:val="28"/>
          <w:lang w:eastAsia="zh-CN"/>
        </w:rPr>
      </w:pPr>
      <w:r>
        <w:rPr>
          <w:b/>
          <w:bCs/>
          <w:color w:val="auto"/>
          <w:spacing w:val="-3"/>
          <w:sz w:val="28"/>
          <w:szCs w:val="28"/>
          <w:lang w:eastAsia="zh-CN"/>
        </w:rPr>
        <w:t>4、露天采场及采剥工艺</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2"/>
          <w:sz w:val="28"/>
          <w:szCs w:val="28"/>
          <w:lang w:eastAsia="zh-CN"/>
        </w:rPr>
        <w:t>本矿山采用山坡露天开采方式，公路开拓、汽车运输方案。确定采矿方法为山坡露天台阶式开采方法，开采顺序按照自上而下分台阶顺序</w:t>
      </w:r>
      <w:r>
        <w:rPr>
          <w:rFonts w:hint="eastAsia"/>
          <w:color w:val="auto"/>
          <w:spacing w:val="12"/>
          <w:sz w:val="28"/>
          <w:szCs w:val="28"/>
          <w:lang w:eastAsia="zh-CN"/>
        </w:rPr>
        <w:t>开采，为了兼顾爆破与破碎锤凿岩开采工艺的衔接设计台阶高度15m，</w:t>
      </w:r>
      <w:r>
        <w:rPr>
          <w:rFonts w:hint="eastAsia"/>
          <w:color w:val="auto"/>
          <w:spacing w:val="12"/>
          <w:sz w:val="28"/>
          <w:szCs w:val="28"/>
          <w:lang w:eastAsia="zh-CN"/>
        </w:rPr>
        <w:lastRenderedPageBreak/>
        <w:t>终了阶段高度为13-15m。采场自上而下共划分为1280m、1265m、 1250m、1235m、1220m、1205m、1190m、1175m、1160m、1145m、1130m、1115m、1100m、1085m、1070m、1055m、1040m、1025m、1010m、995m、980m、965m、950m、935m、920m、905m、890m、875m、860m、845m、832m共31个终了平台。最低开采底标高832m，最终边坡最大垂直高度小于458m。工作台阶坡面角小于65°，终了台阶坡面角为18°-65°，最终岩石边坡角：18°～50°，黄土边坡角不大于45°。本方案设计露天开采安全平台宽度5m，人工清扫平台宽度8m，每隔90m设置接滚石平台，最小工作平台宽度40m，露天采场底部最小宽度60m。</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t>根据矿山资源储量分布情况，首采区位于采场西段，矿体估算资源储量标高1155-832m，矿体以上覆盖少。根据《有色金属采矿设计规范》露天开采备用矿量2-5个月，当阶段高度为1040m时，可采储量385万吨，基本满足准备矿量的要求；当阶段高度1010m时可采储量978万吨，基本满足1年以上开拓矿量（第一年按达产的90%计算），为首期开拓矿量。基建期矿山采场道路，排水设施基本形成，满足首采工作的需要。方案设计采矿许可证期限内基建期2年，达产期1年，运营期（稳产期）27年。</w:t>
      </w:r>
      <w:r>
        <w:rPr>
          <w:rFonts w:cs="Times New Roman" w:hint="eastAsia"/>
          <w:snapToGrid/>
          <w:color w:val="auto"/>
          <w:kern w:val="2"/>
          <w:sz w:val="28"/>
          <w:szCs w:val="21"/>
          <w:lang w:eastAsia="zh-CN"/>
        </w:rPr>
        <w:t>西部1</w:t>
      </w:r>
      <w:r>
        <w:rPr>
          <w:rFonts w:cs="Times New Roman"/>
          <w:snapToGrid/>
          <w:color w:val="auto"/>
          <w:kern w:val="2"/>
          <w:sz w:val="28"/>
          <w:szCs w:val="21"/>
          <w:lang w:eastAsia="zh-CN"/>
        </w:rPr>
        <w:t>1</w:t>
      </w:r>
      <w:r>
        <w:rPr>
          <w:rFonts w:cs="Times New Roman" w:hint="eastAsia"/>
          <w:snapToGrid/>
          <w:color w:val="auto"/>
          <w:kern w:val="2"/>
          <w:sz w:val="28"/>
          <w:szCs w:val="21"/>
          <w:lang w:eastAsia="zh-CN"/>
        </w:rPr>
        <w:t>A线以西部分，分布多个小矿体，资源量较少，连续性较差，剥离量较大可采</w:t>
      </w:r>
      <w:r>
        <w:rPr>
          <w:rFonts w:cs="Times New Roman"/>
          <w:snapToGrid/>
          <w:color w:val="auto"/>
          <w:kern w:val="2"/>
          <w:sz w:val="28"/>
          <w:szCs w:val="21"/>
          <w:lang w:eastAsia="zh-CN"/>
        </w:rPr>
        <w:t>储量</w:t>
      </w:r>
      <w:r>
        <w:rPr>
          <w:rFonts w:cs="Times New Roman" w:hint="eastAsia"/>
          <w:snapToGrid/>
          <w:color w:val="auto"/>
          <w:kern w:val="2"/>
          <w:sz w:val="28"/>
          <w:szCs w:val="21"/>
          <w:lang w:eastAsia="zh-CN"/>
        </w:rPr>
        <w:t>为</w:t>
      </w:r>
      <w:r>
        <w:rPr>
          <w:rFonts w:cs="Times New Roman"/>
          <w:snapToGrid/>
          <w:color w:val="auto"/>
          <w:kern w:val="2"/>
          <w:sz w:val="28"/>
          <w:szCs w:val="21"/>
          <w:lang w:eastAsia="zh-CN"/>
        </w:rPr>
        <w:t>705.3</w:t>
      </w:r>
      <w:r>
        <w:rPr>
          <w:rFonts w:cs="Times New Roman" w:hint="eastAsia"/>
          <w:snapToGrid/>
          <w:color w:val="auto"/>
          <w:kern w:val="2"/>
          <w:sz w:val="28"/>
          <w:szCs w:val="21"/>
          <w:lang w:eastAsia="zh-CN"/>
        </w:rPr>
        <w:t>万吨</w:t>
      </w:r>
      <w:r>
        <w:rPr>
          <w:rFonts w:cs="Times New Roman"/>
          <w:snapToGrid/>
          <w:color w:val="auto"/>
          <w:kern w:val="2"/>
          <w:sz w:val="28"/>
          <w:szCs w:val="21"/>
          <w:lang w:eastAsia="zh-CN"/>
        </w:rPr>
        <w:t>，</w:t>
      </w:r>
      <w:r>
        <w:rPr>
          <w:rFonts w:cs="Times New Roman" w:hint="eastAsia"/>
          <w:snapToGrid/>
          <w:color w:val="auto"/>
          <w:kern w:val="2"/>
          <w:sz w:val="28"/>
          <w:szCs w:val="21"/>
          <w:lang w:eastAsia="zh-CN"/>
        </w:rPr>
        <w:t>矿方计划基建期在该区域建设西部</w:t>
      </w:r>
      <w:r>
        <w:rPr>
          <w:rFonts w:cs="Times New Roman"/>
          <w:snapToGrid/>
          <w:color w:val="auto"/>
          <w:kern w:val="2"/>
          <w:sz w:val="28"/>
          <w:szCs w:val="21"/>
          <w:lang w:eastAsia="zh-CN"/>
        </w:rPr>
        <w:t>排土场，</w:t>
      </w:r>
      <w:r>
        <w:rPr>
          <w:rFonts w:cs="Times New Roman" w:hint="eastAsia"/>
          <w:snapToGrid/>
          <w:color w:val="auto"/>
          <w:kern w:val="2"/>
          <w:sz w:val="28"/>
          <w:szCs w:val="21"/>
          <w:lang w:eastAsia="zh-CN"/>
        </w:rPr>
        <w:t>在</w:t>
      </w:r>
      <w:r>
        <w:rPr>
          <w:rFonts w:cs="Times New Roman"/>
          <w:snapToGrid/>
          <w:color w:val="auto"/>
          <w:kern w:val="2"/>
          <w:sz w:val="28"/>
          <w:szCs w:val="21"/>
          <w:lang w:eastAsia="zh-CN"/>
        </w:rPr>
        <w:t>排土场建设过程中回收该区域的零星资源，</w:t>
      </w:r>
      <w:r>
        <w:rPr>
          <w:rFonts w:cs="Times New Roman" w:hint="eastAsia"/>
          <w:snapToGrid/>
          <w:color w:val="auto"/>
          <w:kern w:val="2"/>
          <w:sz w:val="28"/>
          <w:szCs w:val="21"/>
          <w:lang w:eastAsia="zh-CN"/>
        </w:rPr>
        <w:t>剥离物排放于外排土场，岩土分别储存，西部排土场建成后</w:t>
      </w:r>
      <w:r>
        <w:rPr>
          <w:rFonts w:cs="Times New Roman"/>
          <w:snapToGrid/>
          <w:color w:val="auto"/>
          <w:kern w:val="2"/>
          <w:sz w:val="28"/>
          <w:szCs w:val="21"/>
          <w:lang w:eastAsia="zh-CN"/>
        </w:rPr>
        <w:t>用于临时存储耐火白云岩和建筑石料用</w:t>
      </w:r>
      <w:r>
        <w:rPr>
          <w:rFonts w:cs="Times New Roman" w:hint="eastAsia"/>
          <w:snapToGrid/>
          <w:color w:val="auto"/>
          <w:kern w:val="2"/>
          <w:sz w:val="28"/>
          <w:szCs w:val="21"/>
          <w:lang w:eastAsia="zh-CN"/>
        </w:rPr>
        <w:t>白云岩</w:t>
      </w:r>
      <w:r>
        <w:rPr>
          <w:rFonts w:cs="Times New Roman"/>
          <w:snapToGrid/>
          <w:color w:val="auto"/>
          <w:kern w:val="2"/>
          <w:sz w:val="28"/>
          <w:szCs w:val="21"/>
          <w:lang w:eastAsia="zh-CN"/>
        </w:rPr>
        <w:t>矿石用</w:t>
      </w:r>
      <w:r>
        <w:rPr>
          <w:rFonts w:cs="Times New Roman" w:hint="eastAsia"/>
          <w:snapToGrid/>
          <w:color w:val="auto"/>
          <w:kern w:val="2"/>
          <w:sz w:val="28"/>
          <w:szCs w:val="21"/>
          <w:lang w:eastAsia="zh-CN"/>
        </w:rPr>
        <w:t>，后期白云岩矿清理完毕后及时进行复垦。</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t>2台以上挖掘机在同一平台上作业时，相邻两台设备最小间距不小于50m。多排孔挤压爆破，汽车运输时，单斗挖掘机最小工作线长度为100m。穿孔凿岩、采装、剥离间距一般不小于50m、100m。</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lastRenderedPageBreak/>
        <w:t>《方案》推荐穿孔设备为</w:t>
      </w:r>
      <w:r>
        <w:rPr>
          <w:color w:val="auto"/>
          <w:spacing w:val="12"/>
          <w:sz w:val="28"/>
          <w:szCs w:val="28"/>
          <w:lang w:eastAsia="zh-CN"/>
        </w:rPr>
        <w:t>14</w:t>
      </w:r>
      <w:r>
        <w:rPr>
          <w:rFonts w:hint="eastAsia"/>
          <w:color w:val="auto"/>
          <w:spacing w:val="12"/>
          <w:sz w:val="28"/>
          <w:szCs w:val="28"/>
          <w:lang w:eastAsia="zh-CN"/>
        </w:rPr>
        <w:t>台KQ150潜孔钻机，二次破碎采用</w:t>
      </w:r>
      <w:r>
        <w:rPr>
          <w:color w:val="auto"/>
          <w:spacing w:val="12"/>
          <w:sz w:val="28"/>
          <w:szCs w:val="28"/>
          <w:lang w:eastAsia="zh-CN"/>
        </w:rPr>
        <w:t>11</w:t>
      </w:r>
      <w:r>
        <w:rPr>
          <w:rFonts w:hint="eastAsia"/>
          <w:color w:val="auto"/>
          <w:spacing w:val="12"/>
          <w:sz w:val="28"/>
          <w:szCs w:val="28"/>
          <w:lang w:eastAsia="zh-CN"/>
        </w:rPr>
        <w:t>台沃尔沃EC480DL型挖掘机配锐猛RM200S破碎锤，配备1</w:t>
      </w:r>
      <w:r>
        <w:rPr>
          <w:color w:val="auto"/>
          <w:spacing w:val="12"/>
          <w:sz w:val="28"/>
          <w:szCs w:val="28"/>
          <w:lang w:eastAsia="zh-CN"/>
        </w:rPr>
        <w:t>2</w:t>
      </w:r>
      <w:r>
        <w:rPr>
          <w:rFonts w:hint="eastAsia"/>
          <w:color w:val="auto"/>
          <w:spacing w:val="12"/>
          <w:sz w:val="28"/>
          <w:szCs w:val="28"/>
          <w:lang w:eastAsia="zh-CN"/>
        </w:rPr>
        <w:t>台三一SY750H-S（国四）型履带挖掘机、</w:t>
      </w:r>
      <w:r>
        <w:rPr>
          <w:color w:val="auto"/>
          <w:spacing w:val="12"/>
          <w:sz w:val="28"/>
          <w:szCs w:val="28"/>
          <w:lang w:eastAsia="zh-CN"/>
        </w:rPr>
        <w:t>9</w:t>
      </w:r>
      <w:r>
        <w:rPr>
          <w:rFonts w:hint="eastAsia"/>
          <w:color w:val="auto"/>
          <w:spacing w:val="12"/>
          <w:sz w:val="28"/>
          <w:szCs w:val="28"/>
          <w:lang w:eastAsia="zh-CN"/>
        </w:rPr>
        <w:t>台临工L955HL型装载机、</w:t>
      </w:r>
      <w:r>
        <w:rPr>
          <w:color w:val="auto"/>
          <w:spacing w:val="12"/>
          <w:sz w:val="28"/>
          <w:szCs w:val="28"/>
          <w:lang w:eastAsia="zh-CN"/>
        </w:rPr>
        <w:t>37</w:t>
      </w:r>
      <w:r>
        <w:rPr>
          <w:rFonts w:hint="eastAsia"/>
          <w:color w:val="auto"/>
          <w:spacing w:val="12"/>
          <w:sz w:val="28"/>
          <w:szCs w:val="28"/>
          <w:lang w:eastAsia="zh-CN"/>
        </w:rPr>
        <w:t>辆宇通YTK90E60t矿用自卸车。</w:t>
      </w:r>
    </w:p>
    <w:p w:rsidR="006E03A8" w:rsidRDefault="002A1791">
      <w:pPr>
        <w:pStyle w:val="a5"/>
        <w:spacing w:before="40" w:line="219" w:lineRule="auto"/>
        <w:ind w:left="589"/>
        <w:rPr>
          <w:color w:val="auto"/>
          <w:sz w:val="28"/>
          <w:szCs w:val="28"/>
          <w:lang w:eastAsia="zh-CN"/>
        </w:rPr>
      </w:pPr>
      <w:r>
        <w:rPr>
          <w:b/>
          <w:bCs/>
          <w:color w:val="auto"/>
          <w:spacing w:val="-5"/>
          <w:sz w:val="28"/>
          <w:szCs w:val="28"/>
          <w:lang w:eastAsia="zh-CN"/>
        </w:rPr>
        <w:t>5、总平面布置</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t>首采区露天开采出入口位于矿区首采区北侧；工业广场布置在紧邻矿区北西部界外的宽阔平缓处；办公生活区布置在工业广场东侧平缓处；排土场设在距采场较近的小沟谷中；临时废渣场布置在工业广场内。</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t>本方案设计排土场2个，</w:t>
      </w:r>
      <w:r>
        <w:rPr>
          <w:rFonts w:cs="Times New Roman" w:hint="eastAsia"/>
          <w:snapToGrid/>
          <w:color w:val="auto"/>
          <w:kern w:val="2"/>
          <w:sz w:val="28"/>
          <w:szCs w:val="21"/>
          <w:lang w:eastAsia="zh-CN"/>
        </w:rPr>
        <w:t>其中一个设在距矿区界外东南部350m的沟谷中，土地利用类型为其他草地，该区域具有地形宽阔、坡度不大等特点。拟设置排土场地北东-南西长约</w:t>
      </w:r>
      <w:r>
        <w:rPr>
          <w:rFonts w:cs="Times New Roman"/>
          <w:snapToGrid/>
          <w:color w:val="auto"/>
          <w:kern w:val="2"/>
          <w:sz w:val="28"/>
          <w:szCs w:val="21"/>
          <w:lang w:eastAsia="zh-CN"/>
        </w:rPr>
        <w:t>930</w:t>
      </w:r>
      <w:r>
        <w:rPr>
          <w:rFonts w:cs="Times New Roman" w:hint="eastAsia"/>
          <w:snapToGrid/>
          <w:color w:val="auto"/>
          <w:kern w:val="2"/>
          <w:sz w:val="28"/>
          <w:szCs w:val="21"/>
          <w:lang w:eastAsia="zh-CN"/>
        </w:rPr>
        <w:t>m，最宽处约</w:t>
      </w:r>
      <w:r>
        <w:rPr>
          <w:rFonts w:cs="Times New Roman"/>
          <w:snapToGrid/>
          <w:color w:val="auto"/>
          <w:kern w:val="2"/>
          <w:sz w:val="28"/>
          <w:szCs w:val="21"/>
          <w:lang w:eastAsia="zh-CN"/>
        </w:rPr>
        <w:t>880</w:t>
      </w:r>
      <w:r>
        <w:rPr>
          <w:rFonts w:cs="Times New Roman" w:hint="eastAsia"/>
          <w:snapToGrid/>
          <w:color w:val="auto"/>
          <w:kern w:val="2"/>
          <w:sz w:val="28"/>
          <w:szCs w:val="21"/>
          <w:lang w:eastAsia="zh-CN"/>
        </w:rPr>
        <w:t>m，地形最低标高</w:t>
      </w:r>
      <w:r>
        <w:rPr>
          <w:rFonts w:cs="Times New Roman"/>
          <w:snapToGrid/>
          <w:color w:val="auto"/>
          <w:kern w:val="2"/>
          <w:sz w:val="28"/>
          <w:szCs w:val="21"/>
          <w:lang w:eastAsia="zh-CN"/>
        </w:rPr>
        <w:t>960</w:t>
      </w:r>
      <w:r>
        <w:rPr>
          <w:rFonts w:cs="Times New Roman" w:hint="eastAsia"/>
          <w:snapToGrid/>
          <w:color w:val="auto"/>
          <w:kern w:val="2"/>
          <w:sz w:val="28"/>
          <w:szCs w:val="21"/>
          <w:lang w:eastAsia="zh-CN"/>
        </w:rPr>
        <w:t>m，最高标高</w:t>
      </w:r>
      <w:r>
        <w:rPr>
          <w:rFonts w:cs="Times New Roman"/>
          <w:snapToGrid/>
          <w:color w:val="auto"/>
          <w:kern w:val="2"/>
          <w:sz w:val="28"/>
          <w:szCs w:val="21"/>
          <w:lang w:eastAsia="zh-CN"/>
        </w:rPr>
        <w:t>1162</w:t>
      </w:r>
      <w:r>
        <w:rPr>
          <w:rFonts w:cs="Times New Roman" w:hint="eastAsia"/>
          <w:snapToGrid/>
          <w:color w:val="auto"/>
          <w:kern w:val="2"/>
          <w:sz w:val="28"/>
          <w:szCs w:val="21"/>
          <w:lang w:eastAsia="zh-CN"/>
        </w:rPr>
        <w:t>m，占地面积</w:t>
      </w:r>
      <w:r>
        <w:rPr>
          <w:rFonts w:cs="Times New Roman"/>
          <w:snapToGrid/>
          <w:color w:val="auto"/>
          <w:kern w:val="2"/>
          <w:sz w:val="28"/>
          <w:szCs w:val="21"/>
          <w:lang w:eastAsia="zh-CN"/>
        </w:rPr>
        <w:t>37.30</w:t>
      </w:r>
      <w:r>
        <w:rPr>
          <w:rFonts w:cs="Times New Roman" w:hint="eastAsia"/>
          <w:snapToGrid/>
          <w:color w:val="auto"/>
          <w:kern w:val="2"/>
          <w:sz w:val="28"/>
          <w:szCs w:val="21"/>
          <w:lang w:eastAsia="zh-CN"/>
        </w:rPr>
        <w:t>hm</w:t>
      </w:r>
      <w:r>
        <w:rPr>
          <w:rFonts w:cs="Times New Roman" w:hint="eastAsia"/>
          <w:snapToGrid/>
          <w:color w:val="auto"/>
          <w:kern w:val="2"/>
          <w:sz w:val="28"/>
          <w:szCs w:val="21"/>
          <w:vertAlign w:val="superscript"/>
          <w:lang w:eastAsia="zh-CN"/>
        </w:rPr>
        <w:t>2</w:t>
      </w:r>
      <w:r>
        <w:rPr>
          <w:rFonts w:cs="Times New Roman" w:hint="eastAsia"/>
          <w:snapToGrid/>
          <w:color w:val="auto"/>
          <w:kern w:val="2"/>
          <w:sz w:val="28"/>
          <w:szCs w:val="21"/>
          <w:lang w:eastAsia="zh-CN"/>
        </w:rPr>
        <w:t>，按8</w:t>
      </w:r>
      <w:r>
        <w:rPr>
          <w:rFonts w:cs="Times New Roman"/>
          <w:snapToGrid/>
          <w:color w:val="auto"/>
          <w:kern w:val="2"/>
          <w:sz w:val="28"/>
          <w:szCs w:val="21"/>
          <w:lang w:eastAsia="zh-CN"/>
        </w:rPr>
        <w:t>m</w:t>
      </w:r>
      <w:r>
        <w:rPr>
          <w:rFonts w:cs="Times New Roman" w:hint="eastAsia"/>
          <w:snapToGrid/>
          <w:color w:val="auto"/>
          <w:kern w:val="2"/>
          <w:sz w:val="28"/>
          <w:szCs w:val="21"/>
          <w:lang w:eastAsia="zh-CN"/>
        </w:rPr>
        <w:t>的台阶高度分层堆积，排土场容积约</w:t>
      </w:r>
      <w:r>
        <w:rPr>
          <w:rFonts w:cs="Times New Roman"/>
          <w:snapToGrid/>
          <w:color w:val="auto"/>
          <w:kern w:val="2"/>
          <w:sz w:val="28"/>
          <w:szCs w:val="21"/>
          <w:lang w:eastAsia="zh-CN"/>
        </w:rPr>
        <w:t>659.43</w:t>
      </w:r>
      <w:r>
        <w:rPr>
          <w:rFonts w:cs="Times New Roman" w:hint="eastAsia"/>
          <w:snapToGrid/>
          <w:color w:val="auto"/>
          <w:kern w:val="2"/>
          <w:sz w:val="28"/>
          <w:szCs w:val="21"/>
          <w:lang w:eastAsia="zh-CN"/>
        </w:rPr>
        <w:t>万m</w:t>
      </w:r>
      <w:r>
        <w:rPr>
          <w:rFonts w:cs="Times New Roman" w:hint="eastAsia"/>
          <w:snapToGrid/>
          <w:color w:val="auto"/>
          <w:kern w:val="2"/>
          <w:sz w:val="28"/>
          <w:szCs w:val="21"/>
          <w:vertAlign w:val="superscript"/>
          <w:lang w:eastAsia="zh-CN"/>
        </w:rPr>
        <w:t>3</w:t>
      </w:r>
      <w:r>
        <w:rPr>
          <w:rFonts w:cs="Times New Roman" w:hint="eastAsia"/>
          <w:snapToGrid/>
          <w:color w:val="auto"/>
          <w:kern w:val="2"/>
          <w:sz w:val="28"/>
          <w:szCs w:val="21"/>
          <w:lang w:eastAsia="zh-CN"/>
        </w:rPr>
        <w:t>，排土场设置拦渣墙，长度</w:t>
      </w:r>
      <w:r>
        <w:rPr>
          <w:rFonts w:cs="Times New Roman"/>
          <w:snapToGrid/>
          <w:color w:val="auto"/>
          <w:kern w:val="2"/>
          <w:sz w:val="28"/>
          <w:szCs w:val="21"/>
          <w:lang w:eastAsia="zh-CN"/>
        </w:rPr>
        <w:t>60</w:t>
      </w:r>
      <w:r>
        <w:rPr>
          <w:rFonts w:cs="Times New Roman" w:hint="eastAsia"/>
          <w:snapToGrid/>
          <w:color w:val="auto"/>
          <w:kern w:val="2"/>
          <w:sz w:val="28"/>
          <w:szCs w:val="21"/>
          <w:lang w:eastAsia="zh-CN"/>
        </w:rPr>
        <w:t>m，高度5m；另一个为西部排土场，用于</w:t>
      </w:r>
      <w:r>
        <w:rPr>
          <w:rFonts w:cs="Times New Roman"/>
          <w:snapToGrid/>
          <w:color w:val="auto"/>
          <w:kern w:val="2"/>
          <w:sz w:val="28"/>
          <w:szCs w:val="21"/>
          <w:lang w:eastAsia="zh-CN"/>
        </w:rPr>
        <w:t>临时存储耐火白云岩和建筑石料用</w:t>
      </w:r>
      <w:r>
        <w:rPr>
          <w:rFonts w:cs="Times New Roman" w:hint="eastAsia"/>
          <w:snapToGrid/>
          <w:color w:val="auto"/>
          <w:kern w:val="2"/>
          <w:sz w:val="28"/>
          <w:szCs w:val="21"/>
          <w:lang w:eastAsia="zh-CN"/>
        </w:rPr>
        <w:t>白云岩</w:t>
      </w:r>
      <w:r>
        <w:rPr>
          <w:rFonts w:cs="Times New Roman"/>
          <w:snapToGrid/>
          <w:color w:val="auto"/>
          <w:kern w:val="2"/>
          <w:sz w:val="28"/>
          <w:szCs w:val="21"/>
          <w:lang w:eastAsia="zh-CN"/>
        </w:rPr>
        <w:t>矿石</w:t>
      </w:r>
      <w:r>
        <w:rPr>
          <w:rFonts w:cs="Times New Roman" w:hint="eastAsia"/>
          <w:snapToGrid/>
          <w:color w:val="auto"/>
          <w:kern w:val="2"/>
          <w:sz w:val="28"/>
          <w:szCs w:val="21"/>
          <w:lang w:eastAsia="zh-CN"/>
        </w:rPr>
        <w:t>、前期剥离物，西部排土场设计占地面积8.26hm</w:t>
      </w:r>
      <w:r>
        <w:rPr>
          <w:rFonts w:cs="Times New Roman" w:hint="eastAsia"/>
          <w:snapToGrid/>
          <w:color w:val="auto"/>
          <w:kern w:val="2"/>
          <w:sz w:val="28"/>
          <w:szCs w:val="21"/>
          <w:vertAlign w:val="superscript"/>
          <w:lang w:eastAsia="zh-CN"/>
        </w:rPr>
        <w:t>2</w:t>
      </w:r>
      <w:r>
        <w:rPr>
          <w:rFonts w:cs="Times New Roman" w:hint="eastAsia"/>
          <w:snapToGrid/>
          <w:color w:val="auto"/>
          <w:kern w:val="2"/>
          <w:sz w:val="28"/>
          <w:szCs w:val="21"/>
          <w:lang w:eastAsia="zh-CN"/>
        </w:rPr>
        <w:t>。</w:t>
      </w:r>
      <w:r>
        <w:rPr>
          <w:rFonts w:hint="eastAsia"/>
          <w:color w:val="auto"/>
          <w:spacing w:val="12"/>
          <w:sz w:val="28"/>
          <w:szCs w:val="28"/>
          <w:lang w:eastAsia="zh-CN"/>
        </w:rPr>
        <w:t>然后再对首采区、二采区依次进行开采。前期可利用冶镁白云岩矿石直接运往加工场进行加工，剥离物分别运至内外排土场，内外排土场容积约</w:t>
      </w:r>
      <w:r>
        <w:rPr>
          <w:rFonts w:cs="Times New Roman"/>
          <w:snapToGrid/>
          <w:color w:val="auto"/>
          <w:kern w:val="2"/>
          <w:sz w:val="28"/>
          <w:szCs w:val="21"/>
          <w:lang w:eastAsia="zh-CN"/>
        </w:rPr>
        <w:t>1298.40</w:t>
      </w:r>
      <w:r>
        <w:rPr>
          <w:rFonts w:hint="eastAsia"/>
          <w:color w:val="auto"/>
          <w:spacing w:val="12"/>
          <w:sz w:val="28"/>
          <w:szCs w:val="28"/>
          <w:lang w:eastAsia="zh-CN"/>
        </w:rPr>
        <w:t>万m</w:t>
      </w:r>
      <w:r>
        <w:rPr>
          <w:rFonts w:hint="eastAsia"/>
          <w:color w:val="auto"/>
          <w:spacing w:val="12"/>
          <w:sz w:val="28"/>
          <w:szCs w:val="28"/>
          <w:vertAlign w:val="superscript"/>
          <w:lang w:eastAsia="zh-CN"/>
        </w:rPr>
        <w:t>3</w:t>
      </w:r>
      <w:r>
        <w:rPr>
          <w:rFonts w:hint="eastAsia"/>
          <w:color w:val="auto"/>
          <w:spacing w:val="12"/>
          <w:sz w:val="28"/>
          <w:szCs w:val="28"/>
          <w:lang w:eastAsia="zh-CN"/>
        </w:rPr>
        <w:t>。设计的排土场可满足投产时的</w:t>
      </w:r>
      <w:r>
        <w:rPr>
          <w:color w:val="auto"/>
          <w:spacing w:val="12"/>
          <w:sz w:val="28"/>
          <w:szCs w:val="28"/>
          <w:lang w:eastAsia="zh-CN"/>
        </w:rPr>
        <w:t>排放</w:t>
      </w:r>
      <w:r>
        <w:rPr>
          <w:rFonts w:hint="eastAsia"/>
          <w:color w:val="auto"/>
          <w:spacing w:val="12"/>
          <w:sz w:val="28"/>
          <w:szCs w:val="28"/>
          <w:lang w:eastAsia="zh-CN"/>
        </w:rPr>
        <w:t>要求，且随着首采地段及时进行土地复垦利用，排土场内黄土也会随之清空，不影响后期境界内的矿石开采。</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t>截水沟或排水渠、运输道路大部分设计在矿区范围以内。</w:t>
      </w:r>
    </w:p>
    <w:p w:rsidR="006E03A8" w:rsidRDefault="002A1791">
      <w:pPr>
        <w:pStyle w:val="a5"/>
        <w:spacing w:before="166" w:line="221" w:lineRule="auto"/>
        <w:ind w:left="586"/>
        <w:rPr>
          <w:color w:val="auto"/>
          <w:sz w:val="28"/>
          <w:szCs w:val="28"/>
          <w:lang w:eastAsia="zh-CN"/>
        </w:rPr>
      </w:pPr>
      <w:r>
        <w:rPr>
          <w:b/>
          <w:bCs/>
          <w:color w:val="auto"/>
          <w:spacing w:val="-4"/>
          <w:sz w:val="28"/>
          <w:szCs w:val="28"/>
          <w:lang w:eastAsia="zh-CN"/>
        </w:rPr>
        <w:t>6、综合利用方案</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t>矿区范围内无其他可综合利用的矿产，该矿区综合利用主要为破碎加工产生的粒径小于0.15mm的废渣，在生产过程中产生的废渣集中堆放，闭坑时用于回填采空区使用，综合利用率设计为100%。</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lastRenderedPageBreak/>
        <w:t>本矿山的剥离物为第四系上更新统黄土及矿体围岩，开采境界内剥离量为</w:t>
      </w:r>
      <w:bookmarkStart w:id="1" w:name="_Hlk179304884"/>
      <w:r>
        <w:rPr>
          <w:rFonts w:hint="eastAsia"/>
          <w:color w:val="auto"/>
          <w:spacing w:val="12"/>
          <w:sz w:val="28"/>
          <w:szCs w:val="28"/>
          <w:lang w:eastAsia="zh-CN"/>
        </w:rPr>
        <w:t>1948.39</w:t>
      </w:r>
      <w:bookmarkEnd w:id="1"/>
      <w:r>
        <w:rPr>
          <w:rFonts w:hint="eastAsia"/>
          <w:color w:val="auto"/>
          <w:spacing w:val="12"/>
          <w:sz w:val="28"/>
          <w:szCs w:val="28"/>
          <w:lang w:eastAsia="zh-CN"/>
        </w:rPr>
        <w:t>万m</w:t>
      </w:r>
      <w:r>
        <w:rPr>
          <w:rFonts w:hint="eastAsia"/>
          <w:color w:val="auto"/>
          <w:spacing w:val="12"/>
          <w:sz w:val="28"/>
          <w:szCs w:val="28"/>
          <w:vertAlign w:val="superscript"/>
          <w:lang w:eastAsia="zh-CN"/>
        </w:rPr>
        <w:t>3</w:t>
      </w:r>
      <w:r>
        <w:rPr>
          <w:rFonts w:hint="eastAsia"/>
          <w:color w:val="auto"/>
          <w:spacing w:val="12"/>
          <w:sz w:val="28"/>
          <w:szCs w:val="28"/>
          <w:lang w:eastAsia="zh-CN"/>
        </w:rPr>
        <w:t>，前期剥离物送至排土场处理，用于后期环境治理、土地复垦，设计综合利用率75%以上。</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t>本矿山生产期废水主要为开挖除尘用水、道路抑尘洒水，该部分水一般会自然蒸发，不会产生径流；生活污水主要为矿区职工生活用水，矿山应配置完善的污水处理系统，经固液分离处理后的清水循环利用率应达到100%。</w:t>
      </w:r>
    </w:p>
    <w:p w:rsidR="006E03A8" w:rsidRDefault="002A1791">
      <w:pPr>
        <w:pStyle w:val="a5"/>
        <w:spacing w:before="40" w:line="220" w:lineRule="auto"/>
        <w:ind w:left="590"/>
        <w:rPr>
          <w:color w:val="auto"/>
          <w:sz w:val="28"/>
          <w:szCs w:val="28"/>
          <w:lang w:eastAsia="zh-CN"/>
        </w:rPr>
      </w:pPr>
      <w:r>
        <w:rPr>
          <w:b/>
          <w:bCs/>
          <w:color w:val="auto"/>
          <w:spacing w:val="-3"/>
          <w:sz w:val="28"/>
          <w:szCs w:val="28"/>
          <w:lang w:eastAsia="zh-CN"/>
        </w:rPr>
        <w:t>7、矿山环境保护与安全设施及措施</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t>《方案》从保护环境，预防和治理采矿生产对生态环境的破坏及由其引发的地质灾害的角度以及水土保持、土地复垦等方面，提出了一些预防措施和治理方法及技术要求。</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t>《方案》从保障安全生产，预防职业危害的角度，对矿山生产各主要环节分别提出了一些措施和管理技术要求。</w:t>
      </w:r>
    </w:p>
    <w:p w:rsidR="006E03A8" w:rsidRDefault="002A1791">
      <w:pPr>
        <w:pStyle w:val="a5"/>
        <w:spacing w:before="40" w:line="220" w:lineRule="auto"/>
        <w:ind w:left="590"/>
        <w:rPr>
          <w:b/>
          <w:bCs/>
          <w:color w:val="auto"/>
          <w:spacing w:val="-3"/>
          <w:sz w:val="28"/>
          <w:szCs w:val="28"/>
          <w:lang w:eastAsia="zh-CN"/>
        </w:rPr>
      </w:pPr>
      <w:r>
        <w:rPr>
          <w:rFonts w:hint="eastAsia"/>
          <w:b/>
          <w:bCs/>
          <w:color w:val="auto"/>
          <w:spacing w:val="-3"/>
          <w:sz w:val="28"/>
          <w:szCs w:val="28"/>
          <w:lang w:eastAsia="zh-CN"/>
        </w:rPr>
        <w:t>8、</w:t>
      </w:r>
      <w:r>
        <w:rPr>
          <w:b/>
          <w:bCs/>
          <w:color w:val="auto"/>
          <w:spacing w:val="-3"/>
          <w:sz w:val="28"/>
          <w:szCs w:val="28"/>
          <w:lang w:eastAsia="zh-CN"/>
        </w:rPr>
        <w:t>项目投资估算</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t>本矿为新立采矿权，建设投资费用总估算内容包括</w:t>
      </w:r>
      <w:r>
        <w:rPr>
          <w:color w:val="auto"/>
          <w:spacing w:val="12"/>
          <w:sz w:val="28"/>
          <w:szCs w:val="28"/>
          <w:lang w:eastAsia="zh-CN"/>
        </w:rPr>
        <w:t>矿业权出让</w:t>
      </w:r>
      <w:r>
        <w:rPr>
          <w:rFonts w:hint="eastAsia"/>
          <w:color w:val="auto"/>
          <w:spacing w:val="12"/>
          <w:sz w:val="28"/>
          <w:szCs w:val="28"/>
          <w:lang w:eastAsia="zh-CN"/>
        </w:rPr>
        <w:t>价款、矿山基建及开采、建筑工程、设备及工、器具设备购置、安装工程费用、工程建设其他费用、未预见工程费及流动资金等，建设投资总额需</w:t>
      </w:r>
      <w:r>
        <w:rPr>
          <w:color w:val="auto"/>
          <w:spacing w:val="12"/>
          <w:sz w:val="28"/>
          <w:szCs w:val="28"/>
          <w:lang w:eastAsia="zh-CN"/>
        </w:rPr>
        <w:t>180558.27</w:t>
      </w:r>
      <w:r>
        <w:rPr>
          <w:rFonts w:hint="eastAsia"/>
          <w:color w:val="auto"/>
          <w:spacing w:val="12"/>
          <w:sz w:val="28"/>
          <w:szCs w:val="28"/>
          <w:lang w:eastAsia="zh-CN"/>
        </w:rPr>
        <w:t>万元，企业自筹解决60%，贷款40%。</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t>总成本费用：包括生产成本（含材料费、动力费、人工费、其他直接费用+间接费用等）、管理费用、财务费用、销售税金及附加等。据此计算总成本费用（生产成本、销售费用、企业所得税、管理费用、财务费用）</w:t>
      </w:r>
      <w:r>
        <w:rPr>
          <w:color w:val="auto"/>
          <w:spacing w:val="12"/>
          <w:sz w:val="28"/>
          <w:szCs w:val="28"/>
          <w:lang w:eastAsia="zh-CN"/>
        </w:rPr>
        <w:t>59.</w:t>
      </w:r>
      <w:r>
        <w:rPr>
          <w:rFonts w:hint="eastAsia"/>
          <w:color w:val="auto"/>
          <w:spacing w:val="12"/>
          <w:sz w:val="28"/>
          <w:szCs w:val="28"/>
          <w:lang w:eastAsia="zh-CN"/>
        </w:rPr>
        <w:t>1</w:t>
      </w:r>
      <w:r>
        <w:rPr>
          <w:color w:val="auto"/>
          <w:spacing w:val="12"/>
          <w:sz w:val="28"/>
          <w:szCs w:val="28"/>
          <w:lang w:eastAsia="zh-CN"/>
        </w:rPr>
        <w:t>8</w:t>
      </w:r>
      <w:r>
        <w:rPr>
          <w:rFonts w:hint="eastAsia"/>
          <w:color w:val="auto"/>
          <w:spacing w:val="12"/>
          <w:sz w:val="28"/>
          <w:szCs w:val="28"/>
          <w:lang w:eastAsia="zh-CN"/>
        </w:rPr>
        <w:t>元/吨（矿石），</w:t>
      </w:r>
      <w:r>
        <w:rPr>
          <w:rFonts w:hint="eastAsia"/>
          <w:color w:val="auto"/>
          <w:sz w:val="28"/>
          <w:szCs w:val="28"/>
          <w:lang w:eastAsia="zh-CN"/>
        </w:rPr>
        <w:t>投资利润率为25.99%，投资利税率为14.71%。</w:t>
      </w:r>
    </w:p>
    <w:p w:rsidR="006E03A8" w:rsidRDefault="002A1791">
      <w:pPr>
        <w:pStyle w:val="a5"/>
        <w:spacing w:before="38" w:line="220" w:lineRule="auto"/>
        <w:ind w:left="25"/>
        <w:outlineLvl w:val="0"/>
        <w:rPr>
          <w:color w:val="auto"/>
          <w:sz w:val="28"/>
          <w:szCs w:val="28"/>
          <w:lang w:eastAsia="zh-CN"/>
        </w:rPr>
      </w:pPr>
      <w:r>
        <w:rPr>
          <w:b/>
          <w:bCs/>
          <w:color w:val="auto"/>
          <w:spacing w:val="-4"/>
          <w:sz w:val="28"/>
          <w:szCs w:val="28"/>
          <w:lang w:eastAsia="zh-CN"/>
        </w:rPr>
        <w:t>三、评审意见</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t>1、《方案》编制目的一是为矿山办理采矿登记提供依据；二是为规范矿山企业的采矿行为，按照科学的采矿方法，合理的开采顺序，</w:t>
      </w:r>
      <w:r>
        <w:rPr>
          <w:rFonts w:hint="eastAsia"/>
          <w:color w:val="auto"/>
          <w:spacing w:val="12"/>
          <w:sz w:val="28"/>
          <w:szCs w:val="28"/>
          <w:lang w:eastAsia="zh-CN"/>
        </w:rPr>
        <w:lastRenderedPageBreak/>
        <w:t>最大限度地利用矿区内矿产资源储量，并取得最大的经济效益和社会效益；三是为后续工作提供基础资料，《方案》编制目的任务明确。</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t>2、《方案》按照原国土资源部《关于加强矿产资源开发利用方案审查的通知》（国土资发〔1999〕98号）、《山西省自然资源厅关于进一步规范矿产资源开发利用和矿山环境保护与土地复垦方案编制及审查工作的通知》（晋自然资函〔2021〕1号）、《忻州市规划和自然资源局关于进一步规范市级发证矿山企业矿产资源核实报告、矿产资源开发利用和矿山环境保护与土地复垦方案编制评审备案办法的通知》（忻自然资发〔2021〕105号）、《山西省自然资源厅关于完善责任体系提高矿山开发治理方案中矿产资源开发利用方案编审质量的通知》（晋自然资函〔2023〕931号）等文件进行编制，依据较充分。</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t>3、《方案》编制中充分收集利用了已有的地质报告、矿山开采情况、矿区及周边人文和社会经济等资料，完成了矿山地质调查和室内资料整理、分析研究工作。工作程序、主要内容与格式基本符合有关规定和要求。</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t>4、《方案》设计矿区范围内的矿体采用山坡露天开采。可供露天开采的冶镁用白云岩、耐火材料用白云岩、建筑石料用白云岩矿探明+控制+推断资源量为47540.7万吨予以设计利用，资源储量估算标高1290-832m。可采储量为：45163.67万吨。设计损失9822.1万吨（3460万m</w:t>
      </w:r>
      <w:r>
        <w:rPr>
          <w:rFonts w:hint="eastAsia"/>
          <w:color w:val="auto"/>
          <w:spacing w:val="12"/>
          <w:sz w:val="28"/>
          <w:szCs w:val="28"/>
          <w:vertAlign w:val="superscript"/>
          <w:lang w:eastAsia="zh-CN"/>
        </w:rPr>
        <w:t>3</w:t>
      </w:r>
      <w:r>
        <w:rPr>
          <w:rFonts w:hint="eastAsia"/>
          <w:color w:val="auto"/>
          <w:spacing w:val="12"/>
          <w:sz w:val="28"/>
          <w:szCs w:val="28"/>
          <w:lang w:eastAsia="zh-CN"/>
        </w:rPr>
        <w:t>），其中冶镁白云岩矿损失量5205.5万吨（1833万m</w:t>
      </w:r>
      <w:r>
        <w:rPr>
          <w:rFonts w:hint="eastAsia"/>
          <w:color w:val="auto"/>
          <w:spacing w:val="12"/>
          <w:sz w:val="28"/>
          <w:szCs w:val="28"/>
          <w:vertAlign w:val="superscript"/>
          <w:lang w:eastAsia="zh-CN"/>
        </w:rPr>
        <w:t>3</w:t>
      </w:r>
      <w:r>
        <w:rPr>
          <w:rFonts w:hint="eastAsia"/>
          <w:color w:val="auto"/>
          <w:spacing w:val="12"/>
          <w:sz w:val="28"/>
          <w:szCs w:val="28"/>
          <w:lang w:eastAsia="zh-CN"/>
        </w:rPr>
        <w:t>），耐火用白云岩矿损失量3382万吨（756万m</w:t>
      </w:r>
      <w:r>
        <w:rPr>
          <w:rFonts w:hint="eastAsia"/>
          <w:color w:val="auto"/>
          <w:spacing w:val="12"/>
          <w:sz w:val="28"/>
          <w:szCs w:val="28"/>
          <w:vertAlign w:val="superscript"/>
          <w:lang w:eastAsia="zh-CN"/>
        </w:rPr>
        <w:t>3</w:t>
      </w:r>
      <w:r>
        <w:rPr>
          <w:rFonts w:hint="eastAsia"/>
          <w:color w:val="auto"/>
          <w:spacing w:val="12"/>
          <w:sz w:val="28"/>
          <w:szCs w:val="28"/>
          <w:lang w:eastAsia="zh-CN"/>
        </w:rPr>
        <w:t>），建筑石料用白云岩矿损失量1766.8万吨（624万m</w:t>
      </w:r>
      <w:r>
        <w:rPr>
          <w:rFonts w:hint="eastAsia"/>
          <w:color w:val="auto"/>
          <w:spacing w:val="12"/>
          <w:sz w:val="28"/>
          <w:szCs w:val="28"/>
          <w:vertAlign w:val="superscript"/>
          <w:lang w:eastAsia="zh-CN"/>
        </w:rPr>
        <w:t>3</w:t>
      </w:r>
      <w:r>
        <w:rPr>
          <w:rFonts w:hint="eastAsia"/>
          <w:color w:val="auto"/>
          <w:spacing w:val="12"/>
          <w:sz w:val="28"/>
          <w:szCs w:val="28"/>
          <w:lang w:eastAsia="zh-CN"/>
        </w:rPr>
        <w:t>）。在现有地质资料的基础上，资源利用较为合理。</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t>5、《方案》设计冶镁用白云岩、耐火材料用白云岩、建筑石料用白云岩矿生产规模为1000万吨/年，矿山服务年限约为47.16年（含基</w:t>
      </w:r>
      <w:r>
        <w:rPr>
          <w:rFonts w:hint="eastAsia"/>
          <w:color w:val="auto"/>
          <w:spacing w:val="12"/>
          <w:sz w:val="28"/>
          <w:szCs w:val="28"/>
          <w:lang w:eastAsia="zh-CN"/>
        </w:rPr>
        <w:lastRenderedPageBreak/>
        <w:t>建期2年）。从矿山占用资源储量与生产规模、服务年限相匹配原则考虑，基本可行。</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t>6、《方案》设计本矿山采用山坡露天开采方式，公路开拓，汽车运输方案。确定采矿方法为山坡露天台阶式开采方法，开采顺序按照自上而下顺序分台阶开采，开采台阶高度15m（底部845-832m台阶高度13m），终了台阶高度15m。采场自上而下共划分为1280m、1265m、1250m、1235m、1220m、1205m、1190m、1175m、1160m、1145m、1130m、1115m、1100m、1085m、1070m、1055m、1040m、1025m、1010m、995m、980m、965m、950m、935m、920m、905m、890m、875m、860m、845m、832m共31个终了台阶。工作阶段坡面角不大于65°，终了台阶坡面角为18°-65°，最终岩石边坡角：18°～50°。《方案》确定露天开采安全平台宽度5m ，人工清扫平台宽度8m，每隔90m设接滚石平台，宽度20m，最小工作平台宽度40m，露天采场底部最小宽度60m。开采顺序合理，各项参数的选择基本正确，推荐的露天开采工艺适宜本矿区使用。</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t>7、《方案》对安全生产和职业危害的预防提出的措施及管理技术要求，符合《金属非金属矿山安全规程》和《建材矿山工程建设项目设计文件编制标准-建筑施工规范国家标准》的规定。</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t>8、《方案》对该矿山基建的项目投资和矿山生产的成本费用进行了估算，估算方法基本准确，估算结果基本合理，可满足矿山生产需要。</w:t>
      </w:r>
    </w:p>
    <w:p w:rsidR="006E03A8" w:rsidRDefault="002A1791">
      <w:pPr>
        <w:pStyle w:val="a5"/>
        <w:spacing w:before="165" w:line="221" w:lineRule="auto"/>
        <w:ind w:left="51"/>
        <w:outlineLvl w:val="0"/>
        <w:rPr>
          <w:color w:val="auto"/>
          <w:sz w:val="28"/>
          <w:szCs w:val="28"/>
          <w:lang w:eastAsia="zh-CN"/>
        </w:rPr>
      </w:pPr>
      <w:r>
        <w:rPr>
          <w:b/>
          <w:bCs/>
          <w:color w:val="auto"/>
          <w:spacing w:val="-8"/>
          <w:sz w:val="28"/>
          <w:szCs w:val="28"/>
          <w:lang w:eastAsia="zh-CN"/>
        </w:rPr>
        <w:t>四、问题及建议</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t>1、《方案》设计的生产设施、排土场、工业场地等配套设施以及办公生活区都在批准的开采范围之外，建议矿方及时履行建设用地审批程序。</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lastRenderedPageBreak/>
        <w:t>2、矿山企业应严格按开发利用方案、设计进行开采。《方案》所采用的山坡露天开采方案灵活适用，采矿工艺成熟可靠；矿区白云岩矿资源开采条件较优越；其外部供电及水资源等各项建设条件都已具备；目前矿产品销路基本稳定。无论从资源保护、合理利用角度，还是从技术经济角度来分析，开发该矿山是基本合理可行的。</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t>3、矿区内受断层影响，Ⅳ、Ⅴ、Ⅵ矿体控制程度低，建议矿山在今后的生产过程中，增加推断资源块段的探矿工程，提高资源量级别。</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t>4、由于矿区工业广场设计位置离矿区采场较近，开采矿体时距工业广场或其它建构筑物300m范围内不得进行爆破作业，按《方案》设计采用破碎锤凿岩-铲装工艺进行开采。</w:t>
      </w:r>
    </w:p>
    <w:p w:rsidR="006E03A8" w:rsidRDefault="006E03A8">
      <w:pPr>
        <w:pStyle w:val="a5"/>
        <w:spacing w:before="41" w:line="221" w:lineRule="auto"/>
        <w:ind w:left="29"/>
        <w:outlineLvl w:val="0"/>
        <w:rPr>
          <w:b/>
          <w:bCs/>
          <w:color w:val="auto"/>
          <w:spacing w:val="-6"/>
          <w:sz w:val="28"/>
          <w:szCs w:val="28"/>
          <w:lang w:eastAsia="zh-CN"/>
        </w:rPr>
      </w:pPr>
    </w:p>
    <w:p w:rsidR="006E03A8" w:rsidRDefault="002A1791">
      <w:pPr>
        <w:pStyle w:val="a5"/>
        <w:spacing w:before="41" w:line="221" w:lineRule="auto"/>
        <w:ind w:left="29"/>
        <w:outlineLvl w:val="0"/>
        <w:rPr>
          <w:color w:val="auto"/>
          <w:sz w:val="28"/>
          <w:szCs w:val="28"/>
          <w:lang w:eastAsia="zh-CN"/>
        </w:rPr>
      </w:pPr>
      <w:r>
        <w:rPr>
          <w:b/>
          <w:bCs/>
          <w:color w:val="auto"/>
          <w:spacing w:val="-6"/>
          <w:sz w:val="28"/>
          <w:szCs w:val="28"/>
          <w:lang w:eastAsia="zh-CN"/>
        </w:rPr>
        <w:t>五、结论</w:t>
      </w:r>
    </w:p>
    <w:p w:rsidR="006E03A8" w:rsidRDefault="002A1791">
      <w:pPr>
        <w:pStyle w:val="a5"/>
        <w:spacing w:before="163" w:line="325" w:lineRule="auto"/>
        <w:ind w:left="26" w:firstLine="561"/>
        <w:jc w:val="both"/>
        <w:rPr>
          <w:color w:val="auto"/>
          <w:spacing w:val="12"/>
          <w:sz w:val="28"/>
          <w:szCs w:val="28"/>
          <w:lang w:eastAsia="zh-CN"/>
        </w:rPr>
      </w:pPr>
      <w:r>
        <w:rPr>
          <w:rFonts w:hint="eastAsia"/>
          <w:color w:val="auto"/>
          <w:spacing w:val="12"/>
          <w:sz w:val="28"/>
          <w:szCs w:val="28"/>
          <w:lang w:eastAsia="zh-CN"/>
        </w:rPr>
        <w:t>该《方案》文字、附图、附表及附件齐全，编制内容基本符合国土资发〔1999〕98号、忻州市规划和自然资源局“忻自然资发〔2021〕105号”文件矿产资源开发利用方案编写内容要求，可作为矿政管理的依据。专家组原则同意通过《</w:t>
      </w:r>
      <w:r>
        <w:rPr>
          <w:rFonts w:hint="eastAsia"/>
          <w:color w:val="auto"/>
          <w:spacing w:val="-1"/>
          <w:sz w:val="28"/>
          <w:szCs w:val="28"/>
          <w:lang w:eastAsia="zh-CN"/>
        </w:rPr>
        <w:t>山西省五台县五台云海镁业有限公司大朴村冶镁用白云岩矿矿产资源开发利用方案</w:t>
      </w:r>
      <w:r>
        <w:rPr>
          <w:rFonts w:hint="eastAsia"/>
          <w:color w:val="auto"/>
          <w:spacing w:val="12"/>
          <w:sz w:val="28"/>
          <w:szCs w:val="28"/>
          <w:lang w:eastAsia="zh-CN"/>
        </w:rPr>
        <w:t>》审查。</w:t>
      </w:r>
    </w:p>
    <w:p w:rsidR="006E03A8" w:rsidRDefault="006E03A8">
      <w:pPr>
        <w:spacing w:line="478" w:lineRule="auto"/>
        <w:rPr>
          <w:color w:val="auto"/>
          <w:lang w:eastAsia="zh-CN"/>
        </w:rPr>
      </w:pPr>
    </w:p>
    <w:p w:rsidR="006E03A8" w:rsidRDefault="002A1791">
      <w:pPr>
        <w:pStyle w:val="a5"/>
        <w:spacing w:before="92" w:line="220" w:lineRule="auto"/>
        <w:ind w:left="5254"/>
        <w:rPr>
          <w:color w:val="auto"/>
          <w:sz w:val="28"/>
          <w:szCs w:val="28"/>
          <w:lang w:eastAsia="zh-CN"/>
        </w:rPr>
      </w:pPr>
      <w:r>
        <w:rPr>
          <w:color w:val="auto"/>
          <w:spacing w:val="-2"/>
          <w:sz w:val="28"/>
          <w:szCs w:val="28"/>
          <w:lang w:eastAsia="zh-CN"/>
        </w:rPr>
        <w:t>二〇二四年</w:t>
      </w:r>
      <w:r>
        <w:rPr>
          <w:rFonts w:hint="eastAsia"/>
          <w:color w:val="auto"/>
          <w:spacing w:val="-2"/>
          <w:sz w:val="28"/>
          <w:szCs w:val="28"/>
          <w:lang w:eastAsia="zh-CN"/>
        </w:rPr>
        <w:t>九</w:t>
      </w:r>
      <w:r>
        <w:rPr>
          <w:color w:val="auto"/>
          <w:spacing w:val="-2"/>
          <w:sz w:val="28"/>
          <w:szCs w:val="28"/>
          <w:lang w:eastAsia="zh-CN"/>
        </w:rPr>
        <w:t>月三十日</w:t>
      </w:r>
    </w:p>
    <w:p w:rsidR="006E03A8" w:rsidRDefault="006E03A8">
      <w:pPr>
        <w:spacing w:line="296" w:lineRule="auto"/>
        <w:rPr>
          <w:color w:val="auto"/>
          <w:lang w:eastAsia="zh-CN"/>
        </w:rPr>
      </w:pPr>
    </w:p>
    <w:p w:rsidR="006E03A8" w:rsidRDefault="002A1791">
      <w:pPr>
        <w:pStyle w:val="a5"/>
        <w:spacing w:before="92" w:line="343" w:lineRule="auto"/>
        <w:ind w:left="23" w:right="92" w:firstLine="582"/>
        <w:rPr>
          <w:color w:val="auto"/>
          <w:lang w:eastAsia="zh-CN"/>
        </w:rPr>
      </w:pPr>
      <w:r>
        <w:rPr>
          <w:color w:val="auto"/>
          <w:spacing w:val="-5"/>
          <w:sz w:val="28"/>
          <w:szCs w:val="28"/>
          <w:lang w:eastAsia="zh-CN"/>
        </w:rPr>
        <w:t>附：《</w:t>
      </w:r>
      <w:r>
        <w:rPr>
          <w:rFonts w:hint="eastAsia"/>
          <w:color w:val="auto"/>
          <w:spacing w:val="-1"/>
          <w:sz w:val="28"/>
          <w:szCs w:val="28"/>
          <w:lang w:eastAsia="zh-CN"/>
        </w:rPr>
        <w:t>山西省五台县五台云海镁业有限公司大朴村冶镁用白云岩矿矿产资源开发利用方案</w:t>
      </w:r>
      <w:r>
        <w:rPr>
          <w:color w:val="auto"/>
          <w:spacing w:val="-1"/>
          <w:sz w:val="28"/>
          <w:szCs w:val="28"/>
          <w:lang w:eastAsia="zh-CN"/>
        </w:rPr>
        <w:t>》评审专家名单</w:t>
      </w:r>
    </w:p>
    <w:p w:rsidR="006E03A8" w:rsidRDefault="006E03A8">
      <w:pPr>
        <w:spacing w:line="343" w:lineRule="auto"/>
        <w:rPr>
          <w:color w:val="auto"/>
          <w:sz w:val="28"/>
          <w:szCs w:val="28"/>
          <w:lang w:eastAsia="zh-CN"/>
        </w:rPr>
        <w:sectPr w:rsidR="006E03A8">
          <w:pgSz w:w="11906" w:h="16839"/>
          <w:pgMar w:top="1474" w:right="1474" w:bottom="1474" w:left="1474" w:header="0" w:footer="1219" w:gutter="0"/>
          <w:pgNumType w:start="1"/>
          <w:cols w:space="720"/>
        </w:sectPr>
      </w:pPr>
    </w:p>
    <w:p w:rsidR="006E03A8" w:rsidRDefault="006E03A8" w:rsidP="007325D0">
      <w:pPr>
        <w:spacing w:line="343" w:lineRule="auto"/>
        <w:jc w:val="center"/>
        <w:rPr>
          <w:color w:val="auto"/>
          <w:sz w:val="28"/>
          <w:szCs w:val="28"/>
          <w:lang w:eastAsia="zh-CN"/>
        </w:rPr>
      </w:pPr>
    </w:p>
    <w:sectPr w:rsidR="006E03A8" w:rsidSect="00094EE7">
      <w:footerReference w:type="default" r:id="rId11"/>
      <w:pgSz w:w="16839" w:h="11906" w:orient="landscape"/>
      <w:pgMar w:top="1701" w:right="1474" w:bottom="1701" w:left="1474"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5AA8" w:rsidRDefault="00925AA8" w:rsidP="006E03A8">
      <w:pPr>
        <w:ind w:firstLine="560"/>
      </w:pPr>
      <w:r>
        <w:separator/>
      </w:r>
    </w:p>
  </w:endnote>
  <w:endnote w:type="continuationSeparator" w:id="1">
    <w:p w:rsidR="00925AA8" w:rsidRDefault="00925AA8" w:rsidP="006E03A8">
      <w:pPr>
        <w:ind w:firstLine="56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default"/>
    <w:sig w:usb0="00000000" w:usb1="38CF7CFA" w:usb2="00000016" w:usb3="00000000" w:csb0="0004000F" w:csb1="00000000"/>
    <w:embedRegular r:id="rId1" w:subsetted="1" w:fontKey="{EB4DAFDA-243B-4A72-9062-E32E3A625E7B}"/>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embedRegular r:id="rId2" w:fontKey="{C3EF192F-F971-46E2-B326-862F22BFDE4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3A8" w:rsidRDefault="006E03A8">
    <w:pPr>
      <w:spacing w:line="14" w:lineRule="auto"/>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7589111"/>
    </w:sdtPr>
    <w:sdtContent>
      <w:p w:rsidR="006E03A8" w:rsidRDefault="00403752">
        <w:pPr>
          <w:pStyle w:val="a7"/>
          <w:jc w:val="center"/>
        </w:pPr>
        <w:r>
          <w:fldChar w:fldCharType="begin"/>
        </w:r>
        <w:r w:rsidR="002A1791">
          <w:instrText>PAGE   \* MERGEFORMAT</w:instrText>
        </w:r>
        <w:r>
          <w:fldChar w:fldCharType="separate"/>
        </w:r>
        <w:r w:rsidR="00EA616C" w:rsidRPr="00EA616C">
          <w:rPr>
            <w:noProof/>
            <w:lang w:val="zh-CN" w:eastAsia="zh-CN"/>
          </w:rPr>
          <w:t>0</w:t>
        </w:r>
        <w:r>
          <w:fldChar w:fldCharType="end"/>
        </w:r>
      </w:p>
    </w:sdtContent>
  </w:sdt>
  <w:p w:rsidR="006E03A8" w:rsidRDefault="006E03A8">
    <w:pPr>
      <w:spacing w:line="184" w:lineRule="auto"/>
      <w:ind w:left="4126"/>
      <w:rPr>
        <w:rFonts w:ascii="Times New Roman" w:eastAsia="Times New Roman" w:hAnsi="Times New Roman" w:cs="Times New Roman"/>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EE7" w:rsidRDefault="00925AA8">
    <w:pPr>
      <w:spacing w:line="14" w:lineRule="auto"/>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5AA8" w:rsidRDefault="00925AA8" w:rsidP="006E03A8">
      <w:pPr>
        <w:ind w:firstLine="560"/>
      </w:pPr>
      <w:r>
        <w:separator/>
      </w:r>
    </w:p>
  </w:footnote>
  <w:footnote w:type="continuationSeparator" w:id="1">
    <w:p w:rsidR="00925AA8" w:rsidRDefault="00925AA8" w:rsidP="006E03A8">
      <w:pPr>
        <w:ind w:firstLine="5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3A8" w:rsidRDefault="006E03A8">
    <w:pPr>
      <w:spacing w:line="14" w:lineRule="auto"/>
      <w:rPr>
        <w:sz w:val="2"/>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TrueTypeFonts/>
  <w:bordersDoNotSurroundHeader/>
  <w:bordersDoNotSurroundFooter/>
  <w:defaultTabStop w:val="420"/>
  <w:characterSpacingControl w:val="doNotCompress"/>
  <w:hdrShapeDefaults>
    <o:shapedefaults v:ext="edit" spidmax="9218" fillcolor="white">
      <v:fill color="white"/>
    </o:shapedefaults>
  </w:hdrShapeDefaults>
  <w:footnotePr>
    <w:footnote w:id="0"/>
    <w:footnote w:id="1"/>
  </w:footnotePr>
  <w:endnotePr>
    <w:endnote w:id="0"/>
    <w:endnote w:id="1"/>
  </w:endnotePr>
  <w:compat>
    <w:spaceForUL/>
    <w:ulTrailSpace/>
    <w:useFELayout/>
  </w:compat>
  <w:docVars>
    <w:docVar w:name="commondata" w:val="eyJoZGlkIjoiOWQzMzJhOWFhNWE1MzcyMTFmMjI4ZGY3ODYxNmUwNDgifQ=="/>
  </w:docVars>
  <w:rsids>
    <w:rsidRoot w:val="00867A8A"/>
    <w:rsid w:val="00001D31"/>
    <w:rsid w:val="00040D4C"/>
    <w:rsid w:val="0004471D"/>
    <w:rsid w:val="00052493"/>
    <w:rsid w:val="00064CF4"/>
    <w:rsid w:val="00071828"/>
    <w:rsid w:val="000A1C33"/>
    <w:rsid w:val="000C4268"/>
    <w:rsid w:val="000F4D9C"/>
    <w:rsid w:val="001100A4"/>
    <w:rsid w:val="0019712A"/>
    <w:rsid w:val="001B6233"/>
    <w:rsid w:val="001B6F75"/>
    <w:rsid w:val="001D5D43"/>
    <w:rsid w:val="001F1DA8"/>
    <w:rsid w:val="001F533E"/>
    <w:rsid w:val="002429F3"/>
    <w:rsid w:val="00290F8B"/>
    <w:rsid w:val="0029605B"/>
    <w:rsid w:val="002A1791"/>
    <w:rsid w:val="002C0329"/>
    <w:rsid w:val="002F3DBF"/>
    <w:rsid w:val="00302B84"/>
    <w:rsid w:val="003550EF"/>
    <w:rsid w:val="003B4B1E"/>
    <w:rsid w:val="003C45C2"/>
    <w:rsid w:val="003D227D"/>
    <w:rsid w:val="003D2B44"/>
    <w:rsid w:val="003E6ACF"/>
    <w:rsid w:val="00403752"/>
    <w:rsid w:val="00435018"/>
    <w:rsid w:val="0045183D"/>
    <w:rsid w:val="0046252D"/>
    <w:rsid w:val="00487559"/>
    <w:rsid w:val="00494A38"/>
    <w:rsid w:val="004A2BFD"/>
    <w:rsid w:val="004D667B"/>
    <w:rsid w:val="004E1804"/>
    <w:rsid w:val="00500F03"/>
    <w:rsid w:val="00504196"/>
    <w:rsid w:val="00563F0B"/>
    <w:rsid w:val="005725CB"/>
    <w:rsid w:val="005A78C0"/>
    <w:rsid w:val="005C2426"/>
    <w:rsid w:val="005E08EF"/>
    <w:rsid w:val="005F79CF"/>
    <w:rsid w:val="006124F5"/>
    <w:rsid w:val="00614273"/>
    <w:rsid w:val="00614BF9"/>
    <w:rsid w:val="006C60E4"/>
    <w:rsid w:val="006D315E"/>
    <w:rsid w:val="006E03A8"/>
    <w:rsid w:val="00710727"/>
    <w:rsid w:val="00727815"/>
    <w:rsid w:val="007325D0"/>
    <w:rsid w:val="007564D2"/>
    <w:rsid w:val="00795894"/>
    <w:rsid w:val="007D66F7"/>
    <w:rsid w:val="007F3D7C"/>
    <w:rsid w:val="008305EB"/>
    <w:rsid w:val="0085593E"/>
    <w:rsid w:val="00867A8A"/>
    <w:rsid w:val="008A7E50"/>
    <w:rsid w:val="008D3804"/>
    <w:rsid w:val="008D3C1F"/>
    <w:rsid w:val="009128A8"/>
    <w:rsid w:val="00923FCC"/>
    <w:rsid w:val="00925AA8"/>
    <w:rsid w:val="00926D81"/>
    <w:rsid w:val="009523E2"/>
    <w:rsid w:val="009559EA"/>
    <w:rsid w:val="00964890"/>
    <w:rsid w:val="00992BBE"/>
    <w:rsid w:val="00A41A3B"/>
    <w:rsid w:val="00A736FF"/>
    <w:rsid w:val="00AD64B1"/>
    <w:rsid w:val="00AF3DBE"/>
    <w:rsid w:val="00B11887"/>
    <w:rsid w:val="00B11FE2"/>
    <w:rsid w:val="00B53012"/>
    <w:rsid w:val="00B56B42"/>
    <w:rsid w:val="00BC39B0"/>
    <w:rsid w:val="00BF0F5D"/>
    <w:rsid w:val="00C1658B"/>
    <w:rsid w:val="00C25963"/>
    <w:rsid w:val="00C4492B"/>
    <w:rsid w:val="00C47436"/>
    <w:rsid w:val="00C70C89"/>
    <w:rsid w:val="00C8531C"/>
    <w:rsid w:val="00CA3275"/>
    <w:rsid w:val="00CB2AB4"/>
    <w:rsid w:val="00CD380E"/>
    <w:rsid w:val="00CF2BA9"/>
    <w:rsid w:val="00D05400"/>
    <w:rsid w:val="00D06E6E"/>
    <w:rsid w:val="00D34C84"/>
    <w:rsid w:val="00D45CF4"/>
    <w:rsid w:val="00D705E1"/>
    <w:rsid w:val="00D85F58"/>
    <w:rsid w:val="00DB521D"/>
    <w:rsid w:val="00DE4F32"/>
    <w:rsid w:val="00DE7654"/>
    <w:rsid w:val="00DF67DC"/>
    <w:rsid w:val="00E07386"/>
    <w:rsid w:val="00E36C20"/>
    <w:rsid w:val="00E46DED"/>
    <w:rsid w:val="00E54C4B"/>
    <w:rsid w:val="00E57A27"/>
    <w:rsid w:val="00E6478F"/>
    <w:rsid w:val="00E763D7"/>
    <w:rsid w:val="00E97C85"/>
    <w:rsid w:val="00EA616C"/>
    <w:rsid w:val="00ED1F8F"/>
    <w:rsid w:val="00EE4A43"/>
    <w:rsid w:val="00F458F1"/>
    <w:rsid w:val="00F60F6A"/>
    <w:rsid w:val="00FA3772"/>
    <w:rsid w:val="02E976CA"/>
    <w:rsid w:val="0452398B"/>
    <w:rsid w:val="05BE33AA"/>
    <w:rsid w:val="06B76239"/>
    <w:rsid w:val="08170C0C"/>
    <w:rsid w:val="087B0A5E"/>
    <w:rsid w:val="08BF496D"/>
    <w:rsid w:val="08F74CC7"/>
    <w:rsid w:val="093B1148"/>
    <w:rsid w:val="0998469B"/>
    <w:rsid w:val="0AD5516C"/>
    <w:rsid w:val="0B5E5DFE"/>
    <w:rsid w:val="0B941820"/>
    <w:rsid w:val="108E0A0F"/>
    <w:rsid w:val="109953C9"/>
    <w:rsid w:val="12B306C8"/>
    <w:rsid w:val="13C06F2A"/>
    <w:rsid w:val="14F450DE"/>
    <w:rsid w:val="15241EF4"/>
    <w:rsid w:val="16374BB4"/>
    <w:rsid w:val="16A6065A"/>
    <w:rsid w:val="1816758C"/>
    <w:rsid w:val="1C9F0025"/>
    <w:rsid w:val="1CD008A6"/>
    <w:rsid w:val="1D5C5F16"/>
    <w:rsid w:val="1EC93137"/>
    <w:rsid w:val="21B61D9D"/>
    <w:rsid w:val="22965A26"/>
    <w:rsid w:val="22BE38E8"/>
    <w:rsid w:val="23F76998"/>
    <w:rsid w:val="24107A5A"/>
    <w:rsid w:val="245C010B"/>
    <w:rsid w:val="27D94BAE"/>
    <w:rsid w:val="27F63F1D"/>
    <w:rsid w:val="2A311142"/>
    <w:rsid w:val="310E5321"/>
    <w:rsid w:val="31E340B8"/>
    <w:rsid w:val="32F0565E"/>
    <w:rsid w:val="33A65CE5"/>
    <w:rsid w:val="35C138CD"/>
    <w:rsid w:val="36237179"/>
    <w:rsid w:val="38066D52"/>
    <w:rsid w:val="398A7A7A"/>
    <w:rsid w:val="3AB1338A"/>
    <w:rsid w:val="3BB63308"/>
    <w:rsid w:val="3C630C75"/>
    <w:rsid w:val="3DBD6105"/>
    <w:rsid w:val="3DFD26B4"/>
    <w:rsid w:val="3F1D39BD"/>
    <w:rsid w:val="3F6C393F"/>
    <w:rsid w:val="3FF5502A"/>
    <w:rsid w:val="40942172"/>
    <w:rsid w:val="41AC3367"/>
    <w:rsid w:val="446948F1"/>
    <w:rsid w:val="454C4C22"/>
    <w:rsid w:val="483239E1"/>
    <w:rsid w:val="487335D5"/>
    <w:rsid w:val="4AE66CB9"/>
    <w:rsid w:val="4C7F08F0"/>
    <w:rsid w:val="4DD94895"/>
    <w:rsid w:val="4E5C7274"/>
    <w:rsid w:val="4EFC30C3"/>
    <w:rsid w:val="4F6A6F79"/>
    <w:rsid w:val="51AA1390"/>
    <w:rsid w:val="52232583"/>
    <w:rsid w:val="52B97B77"/>
    <w:rsid w:val="52DB10B0"/>
    <w:rsid w:val="5C245875"/>
    <w:rsid w:val="5C974299"/>
    <w:rsid w:val="624B3AA3"/>
    <w:rsid w:val="63FC0CE2"/>
    <w:rsid w:val="643C2941"/>
    <w:rsid w:val="652F4FD2"/>
    <w:rsid w:val="667271DD"/>
    <w:rsid w:val="675D13F2"/>
    <w:rsid w:val="67AD6512"/>
    <w:rsid w:val="67DB7004"/>
    <w:rsid w:val="687706CF"/>
    <w:rsid w:val="698E1A0D"/>
    <w:rsid w:val="6A486B66"/>
    <w:rsid w:val="6A832F9A"/>
    <w:rsid w:val="6B06396B"/>
    <w:rsid w:val="6B762D04"/>
    <w:rsid w:val="6C757A27"/>
    <w:rsid w:val="6F701223"/>
    <w:rsid w:val="70187047"/>
    <w:rsid w:val="747B1953"/>
    <w:rsid w:val="7789082B"/>
    <w:rsid w:val="77DF669D"/>
    <w:rsid w:val="7A3B2823"/>
    <w:rsid w:val="7AC40DA3"/>
    <w:rsid w:val="7AD87AFF"/>
    <w:rsid w:val="7EE90C95"/>
    <w:rsid w:val="7F476AA9"/>
    <w:rsid w:val="7F6F144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Arial"/>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uiPriority="0" w:unhideWhenUsed="0" w:qFormat="1"/>
    <w:lsdException w:name="Body Text Indent" w:semiHidden="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6E03A8"/>
    <w:pPr>
      <w:kinsoku w:val="0"/>
      <w:autoSpaceDE w:val="0"/>
      <w:autoSpaceDN w:val="0"/>
      <w:adjustRightInd w:val="0"/>
      <w:snapToGrid w:val="0"/>
      <w:textAlignment w:val="baseline"/>
    </w:pPr>
    <w:rPr>
      <w:snapToGrid w:val="0"/>
      <w:color w:val="000000"/>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Indent"/>
    <w:basedOn w:val="a"/>
    <w:next w:val="xl97"/>
    <w:uiPriority w:val="99"/>
    <w:qFormat/>
    <w:rsid w:val="006E03A8"/>
    <w:pPr>
      <w:ind w:firstLine="567"/>
    </w:pPr>
    <w:rPr>
      <w:rFonts w:ascii="Calibri" w:eastAsia="宋体" w:hAnsi="Calibri" w:cs="Times New Roman"/>
      <w:szCs w:val="24"/>
    </w:rPr>
  </w:style>
  <w:style w:type="paragraph" w:customStyle="1" w:styleId="xl97">
    <w:name w:val="xl97"/>
    <w:basedOn w:val="a"/>
    <w:next w:val="xl127"/>
    <w:qFormat/>
    <w:rsid w:val="006E03A8"/>
    <w:pPr>
      <w:pBdr>
        <w:top w:val="single" w:sz="4" w:space="0" w:color="auto"/>
        <w:left w:val="single" w:sz="4" w:space="0" w:color="auto"/>
        <w:bottom w:val="single" w:sz="4" w:space="0" w:color="auto"/>
        <w:right w:val="single" w:sz="4" w:space="0" w:color="auto"/>
      </w:pBdr>
      <w:shd w:val="clear" w:color="000000" w:fill="A9D08E"/>
      <w:adjustRightInd/>
      <w:snapToGrid/>
      <w:spacing w:before="100" w:beforeAutospacing="1" w:after="100" w:afterAutospacing="1"/>
      <w:jc w:val="center"/>
      <w:textAlignment w:val="center"/>
    </w:pPr>
    <w:rPr>
      <w:rFonts w:eastAsia="宋体" w:cs="宋体"/>
      <w:sz w:val="12"/>
      <w:szCs w:val="12"/>
    </w:rPr>
  </w:style>
  <w:style w:type="paragraph" w:customStyle="1" w:styleId="xl127">
    <w:name w:val="xl127"/>
    <w:basedOn w:val="a"/>
    <w:next w:val="1"/>
    <w:qFormat/>
    <w:rsid w:val="006E03A8"/>
    <w:pPr>
      <w:pBdr>
        <w:top w:val="single" w:sz="4" w:space="0" w:color="auto"/>
        <w:left w:val="single" w:sz="4" w:space="0" w:color="auto"/>
        <w:bottom w:val="single" w:sz="4" w:space="0" w:color="auto"/>
        <w:right w:val="single" w:sz="4" w:space="0" w:color="auto"/>
      </w:pBdr>
      <w:shd w:val="clear" w:color="000000" w:fill="9BC2E6"/>
      <w:adjustRightInd/>
      <w:snapToGrid/>
      <w:spacing w:before="100" w:beforeAutospacing="1" w:after="100" w:afterAutospacing="1"/>
      <w:jc w:val="center"/>
      <w:textAlignment w:val="center"/>
    </w:pPr>
    <w:rPr>
      <w:rFonts w:eastAsia="宋体" w:cs="宋体"/>
      <w:sz w:val="12"/>
      <w:szCs w:val="12"/>
    </w:rPr>
  </w:style>
  <w:style w:type="paragraph" w:customStyle="1" w:styleId="1">
    <w:name w:val="1"/>
    <w:basedOn w:val="a"/>
    <w:next w:val="a"/>
    <w:qFormat/>
    <w:rsid w:val="006E03A8"/>
    <w:pPr>
      <w:adjustRightInd/>
    </w:pPr>
    <w:rPr>
      <w:rFonts w:eastAsia="宋体"/>
      <w:szCs w:val="24"/>
    </w:rPr>
  </w:style>
  <w:style w:type="paragraph" w:styleId="a4">
    <w:name w:val="Document Map"/>
    <w:basedOn w:val="a"/>
    <w:link w:val="Char"/>
    <w:uiPriority w:val="99"/>
    <w:semiHidden/>
    <w:unhideWhenUsed/>
    <w:qFormat/>
    <w:rsid w:val="006E03A8"/>
    <w:rPr>
      <w:rFonts w:ascii="宋体" w:eastAsia="宋体"/>
      <w:sz w:val="18"/>
      <w:szCs w:val="18"/>
    </w:rPr>
  </w:style>
  <w:style w:type="paragraph" w:styleId="a5">
    <w:name w:val="Body Text"/>
    <w:basedOn w:val="a"/>
    <w:link w:val="Char0"/>
    <w:semiHidden/>
    <w:qFormat/>
    <w:rsid w:val="006E03A8"/>
    <w:rPr>
      <w:rFonts w:ascii="宋体" w:eastAsia="宋体" w:hAnsi="宋体" w:cs="宋体"/>
      <w:sz w:val="31"/>
      <w:szCs w:val="31"/>
    </w:rPr>
  </w:style>
  <w:style w:type="paragraph" w:styleId="a6">
    <w:name w:val="Balloon Text"/>
    <w:basedOn w:val="a"/>
    <w:link w:val="Char1"/>
    <w:uiPriority w:val="99"/>
    <w:semiHidden/>
    <w:unhideWhenUsed/>
    <w:qFormat/>
    <w:rsid w:val="006E03A8"/>
    <w:rPr>
      <w:sz w:val="18"/>
      <w:szCs w:val="18"/>
    </w:rPr>
  </w:style>
  <w:style w:type="paragraph" w:styleId="a7">
    <w:name w:val="footer"/>
    <w:basedOn w:val="a"/>
    <w:link w:val="Char2"/>
    <w:uiPriority w:val="99"/>
    <w:unhideWhenUsed/>
    <w:qFormat/>
    <w:rsid w:val="006E03A8"/>
    <w:pPr>
      <w:tabs>
        <w:tab w:val="center" w:pos="4153"/>
        <w:tab w:val="right" w:pos="8306"/>
      </w:tabs>
    </w:pPr>
    <w:rPr>
      <w:sz w:val="18"/>
      <w:szCs w:val="18"/>
    </w:rPr>
  </w:style>
  <w:style w:type="paragraph" w:styleId="a8">
    <w:name w:val="header"/>
    <w:basedOn w:val="a"/>
    <w:link w:val="Char3"/>
    <w:uiPriority w:val="99"/>
    <w:unhideWhenUsed/>
    <w:qFormat/>
    <w:rsid w:val="006E03A8"/>
    <w:pPr>
      <w:tabs>
        <w:tab w:val="center" w:pos="4153"/>
        <w:tab w:val="right" w:pos="8306"/>
      </w:tabs>
      <w:jc w:val="center"/>
    </w:pPr>
    <w:rPr>
      <w:sz w:val="18"/>
      <w:szCs w:val="18"/>
    </w:rPr>
  </w:style>
  <w:style w:type="table" w:styleId="a9">
    <w:name w:val="Table Grid"/>
    <w:basedOn w:val="a2"/>
    <w:uiPriority w:val="39"/>
    <w:qFormat/>
    <w:rsid w:val="006E03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semiHidden/>
    <w:unhideWhenUsed/>
    <w:qFormat/>
    <w:rsid w:val="006E03A8"/>
    <w:tblPr>
      <w:tblCellMar>
        <w:top w:w="0" w:type="dxa"/>
        <w:left w:w="0" w:type="dxa"/>
        <w:bottom w:w="0" w:type="dxa"/>
        <w:right w:w="0" w:type="dxa"/>
      </w:tblCellMar>
    </w:tblPr>
  </w:style>
  <w:style w:type="paragraph" w:customStyle="1" w:styleId="TableText">
    <w:name w:val="Table Text"/>
    <w:basedOn w:val="a"/>
    <w:semiHidden/>
    <w:qFormat/>
    <w:rsid w:val="006E03A8"/>
    <w:rPr>
      <w:rFonts w:ascii="宋体" w:eastAsia="宋体" w:hAnsi="宋体" w:cs="宋体"/>
      <w:sz w:val="20"/>
      <w:szCs w:val="20"/>
    </w:rPr>
  </w:style>
  <w:style w:type="character" w:customStyle="1" w:styleId="Char3">
    <w:name w:val="页眉 Char"/>
    <w:basedOn w:val="a1"/>
    <w:link w:val="a8"/>
    <w:uiPriority w:val="99"/>
    <w:qFormat/>
    <w:rsid w:val="006E03A8"/>
    <w:rPr>
      <w:sz w:val="18"/>
      <w:szCs w:val="18"/>
    </w:rPr>
  </w:style>
  <w:style w:type="character" w:customStyle="1" w:styleId="Char2">
    <w:name w:val="页脚 Char"/>
    <w:basedOn w:val="a1"/>
    <w:link w:val="a7"/>
    <w:uiPriority w:val="99"/>
    <w:qFormat/>
    <w:rsid w:val="006E03A8"/>
    <w:rPr>
      <w:sz w:val="18"/>
      <w:szCs w:val="18"/>
    </w:rPr>
  </w:style>
  <w:style w:type="paragraph" w:customStyle="1" w:styleId="aa">
    <w:name w:val="表格正文"/>
    <w:basedOn w:val="a"/>
    <w:uiPriority w:val="99"/>
    <w:qFormat/>
    <w:rsid w:val="006E03A8"/>
    <w:pPr>
      <w:widowControl w:val="0"/>
      <w:kinsoku/>
      <w:autoSpaceDE/>
      <w:autoSpaceDN/>
      <w:contextualSpacing/>
      <w:jc w:val="center"/>
      <w:textAlignment w:val="center"/>
    </w:pPr>
    <w:rPr>
      <w:rFonts w:ascii="宋体" w:hAnsi="宋体" w:cstheme="minorBidi"/>
      <w:snapToGrid/>
      <w:color w:val="auto"/>
      <w:kern w:val="2"/>
      <w:sz w:val="18"/>
      <w:lang w:eastAsia="zh-CN"/>
    </w:rPr>
  </w:style>
  <w:style w:type="paragraph" w:customStyle="1" w:styleId="ab">
    <w:name w:val="表头"/>
    <w:basedOn w:val="a"/>
    <w:uiPriority w:val="99"/>
    <w:qFormat/>
    <w:rsid w:val="006E03A8"/>
    <w:pPr>
      <w:widowControl w:val="0"/>
      <w:kinsoku/>
      <w:autoSpaceDE/>
      <w:autoSpaceDN/>
      <w:textAlignment w:val="auto"/>
    </w:pPr>
    <w:rPr>
      <w:rFonts w:ascii="宋体" w:eastAsia="宋体" w:hAnsi="宋体" w:cs="Times New Roman"/>
      <w:b/>
      <w:bCs/>
      <w:snapToGrid/>
      <w:color w:val="auto"/>
      <w:kern w:val="2"/>
      <w:sz w:val="24"/>
      <w:lang w:eastAsia="zh-CN"/>
    </w:rPr>
  </w:style>
  <w:style w:type="character" w:customStyle="1" w:styleId="Char0">
    <w:name w:val="正文文本 Char"/>
    <w:basedOn w:val="a1"/>
    <w:link w:val="a5"/>
    <w:semiHidden/>
    <w:qFormat/>
    <w:rsid w:val="006E03A8"/>
    <w:rPr>
      <w:rFonts w:ascii="宋体" w:eastAsia="宋体" w:hAnsi="宋体" w:cs="宋体"/>
      <w:sz w:val="31"/>
      <w:szCs w:val="31"/>
    </w:rPr>
  </w:style>
  <w:style w:type="character" w:customStyle="1" w:styleId="Char">
    <w:name w:val="文档结构图 Char"/>
    <w:basedOn w:val="a1"/>
    <w:link w:val="a4"/>
    <w:uiPriority w:val="99"/>
    <w:semiHidden/>
    <w:qFormat/>
    <w:rsid w:val="006E03A8"/>
    <w:rPr>
      <w:rFonts w:ascii="宋体" w:eastAsia="宋体"/>
      <w:snapToGrid w:val="0"/>
      <w:color w:val="000000"/>
      <w:sz w:val="18"/>
      <w:szCs w:val="18"/>
      <w:lang w:eastAsia="en-US"/>
    </w:rPr>
  </w:style>
  <w:style w:type="character" w:customStyle="1" w:styleId="Char1">
    <w:name w:val="批注框文本 Char"/>
    <w:basedOn w:val="a1"/>
    <w:link w:val="a6"/>
    <w:uiPriority w:val="99"/>
    <w:semiHidden/>
    <w:qFormat/>
    <w:rsid w:val="006E03A8"/>
    <w:rPr>
      <w:snapToGrid w:val="0"/>
      <w:color w:val="000000"/>
      <w:sz w:val="18"/>
      <w:szCs w:val="18"/>
      <w:lang w:eastAsia="en-US"/>
    </w:rPr>
  </w:style>
  <w:style w:type="paragraph" w:customStyle="1" w:styleId="ac">
    <w:name w:val="插图图名"/>
    <w:basedOn w:val="a"/>
    <w:uiPriority w:val="99"/>
    <w:qFormat/>
    <w:rsid w:val="006E03A8"/>
    <w:pPr>
      <w:jc w:val="center"/>
    </w:pPr>
    <w:rPr>
      <w:rFonts w:eastAsia="宋体" w:cs="Times New Roman"/>
      <w:b/>
      <w:b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4CE74D0-E3D7-4138-A466-C145385779F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1263</Words>
  <Characters>7202</Characters>
  <Application>Microsoft Office Word</Application>
  <DocSecurity>0</DocSecurity>
  <Lines>60</Lines>
  <Paragraphs>16</Paragraphs>
  <ScaleCrop>false</ScaleCrop>
  <Company/>
  <LinksUpToDate>false</LinksUpToDate>
  <CharactersWithSpaces>8449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54</cp:revision>
  <cp:lastPrinted>2024-10-15T03:33:00Z</cp:lastPrinted>
  <dcterms:created xsi:type="dcterms:W3CDTF">2024-07-11T16:04:00Z</dcterms:created>
  <dcterms:modified xsi:type="dcterms:W3CDTF">2024-10-17T03:00:00Z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2024-09-29T16:22:38Z</vt:filetime>
  </property>
  <property fmtid="{D5CDD505-2E9C-101B-9397-08002B2CF9AE}" pid="4" name="KSOProductBuildVer">
    <vt:lpwstr>2052-11.1.0.11194</vt:lpwstr>
  </property>
  <property fmtid="{D5CDD505-2E9C-101B-9397-08002B2CF9AE}" pid="5" name="ICV">
    <vt:lpwstr>D5E1A196EFF04A1FA4DE45BE6014113C</vt:lpwstr>
  </property>
</Properties>
</file>